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D9B44" w14:textId="4355A80F" w:rsidR="00E17FC1" w:rsidRDefault="00774707">
      <w:pPr>
        <w:spacing w:line="360" w:lineRule="auto"/>
        <w:jc w:val="center"/>
        <w:rPr>
          <w:rFonts w:eastAsia="Times New Roman"/>
          <w:b/>
          <w:lang w:eastAsia="en-US"/>
        </w:rPr>
      </w:pPr>
      <w:r w:rsidRPr="00CE661A">
        <w:rPr>
          <w:rFonts w:eastAsia="Times New Roman"/>
          <w:b/>
          <w:lang w:eastAsia="en-US"/>
        </w:rPr>
        <w:t>STATE OF GEORGIA</w:t>
      </w:r>
    </w:p>
    <w:p w14:paraId="2ACA68AE" w14:textId="77777777" w:rsidR="00E17FC1" w:rsidRDefault="00E17FC1">
      <w:pPr>
        <w:spacing w:line="360" w:lineRule="auto"/>
        <w:jc w:val="center"/>
        <w:rPr>
          <w:rFonts w:eastAsia="MS Mincho"/>
          <w:b/>
          <w:lang w:eastAsia="en-US"/>
        </w:rPr>
      </w:pPr>
    </w:p>
    <w:p w14:paraId="321EA10C" w14:textId="77777777" w:rsidR="00E17FC1" w:rsidRDefault="00774707">
      <w:pPr>
        <w:spacing w:line="360" w:lineRule="auto"/>
        <w:jc w:val="center"/>
        <w:rPr>
          <w:rFonts w:eastAsia="MS Mincho"/>
          <w:b/>
          <w:lang w:eastAsia="en-US"/>
        </w:rPr>
      </w:pPr>
      <w:r w:rsidRPr="00CE661A">
        <w:rPr>
          <w:rFonts w:eastAsia="MS Mincho"/>
          <w:b/>
          <w:lang w:eastAsia="en-US"/>
        </w:rPr>
        <w:t xml:space="preserve">BEFORE THE </w:t>
      </w:r>
    </w:p>
    <w:p w14:paraId="5C1507EC" w14:textId="77777777" w:rsidR="00E17FC1" w:rsidRPr="00CE661A" w:rsidRDefault="00774707">
      <w:pPr>
        <w:spacing w:line="360" w:lineRule="auto"/>
        <w:jc w:val="center"/>
        <w:rPr>
          <w:rFonts w:eastAsia="MS Mincho"/>
          <w:b/>
          <w:lang w:eastAsia="en-US"/>
        </w:rPr>
      </w:pPr>
      <w:r w:rsidRPr="00CE661A">
        <w:rPr>
          <w:rFonts w:eastAsia="MS Mincho"/>
          <w:b/>
          <w:lang w:eastAsia="en-US"/>
        </w:rPr>
        <w:t>GEORGIA PUBLIC SERVICE COMMISSION</w:t>
      </w:r>
    </w:p>
    <w:p w14:paraId="5C9DB9CA" w14:textId="77777777" w:rsidR="00E17FC1" w:rsidRDefault="00E17FC1">
      <w:pPr>
        <w:rPr>
          <w:rFonts w:eastAsia="Times New Roman"/>
          <w:b/>
          <w:lang w:eastAsia="en-US"/>
        </w:rPr>
      </w:pPr>
    </w:p>
    <w:p w14:paraId="29ED5606" w14:textId="77777777" w:rsidR="00E17FC1" w:rsidRPr="00A71693" w:rsidRDefault="00774707">
      <w:pPr>
        <w:spacing w:line="360" w:lineRule="auto"/>
        <w:rPr>
          <w:rFonts w:eastAsia="Times New Roman"/>
          <w:bCs/>
          <w:lang w:eastAsia="en-US"/>
        </w:rPr>
      </w:pPr>
      <w:r w:rsidRPr="00A71693">
        <w:rPr>
          <w:rFonts w:eastAsia="Times New Roman"/>
          <w:bCs/>
          <w:lang w:eastAsia="en-US"/>
        </w:rPr>
        <w:t>Re:</w:t>
      </w:r>
    </w:p>
    <w:p w14:paraId="1109DD47" w14:textId="77777777" w:rsidR="00E17FC1" w:rsidRPr="00A71693" w:rsidRDefault="00774707">
      <w:pPr>
        <w:rPr>
          <w:rFonts w:eastAsia="Times New Roman"/>
          <w:bCs/>
          <w:lang w:eastAsia="en-US"/>
        </w:rPr>
      </w:pPr>
      <w:r w:rsidRPr="00A71693">
        <w:rPr>
          <w:rFonts w:eastAsia="Times New Roman"/>
          <w:bCs/>
          <w:lang w:eastAsia="en-US"/>
        </w:rPr>
        <w:t>Georgia Power Company’s</w:t>
      </w:r>
      <w:r w:rsidRPr="00A71693">
        <w:rPr>
          <w:rFonts w:eastAsia="Times New Roman"/>
          <w:bCs/>
          <w:lang w:eastAsia="en-US"/>
        </w:rPr>
        <w:tab/>
      </w:r>
      <w:r w:rsidRPr="00A71693">
        <w:rPr>
          <w:rFonts w:eastAsia="Times New Roman"/>
          <w:bCs/>
          <w:lang w:eastAsia="en-US"/>
        </w:rPr>
        <w:tab/>
      </w:r>
      <w:r w:rsidRPr="00A71693">
        <w:rPr>
          <w:rFonts w:eastAsia="Times New Roman"/>
          <w:bCs/>
          <w:lang w:eastAsia="en-US"/>
        </w:rPr>
        <w:tab/>
        <w:t>)</w:t>
      </w:r>
    </w:p>
    <w:p w14:paraId="427AB001" w14:textId="254536FC" w:rsidR="00E17FC1" w:rsidRPr="00A71693" w:rsidRDefault="00774707">
      <w:pPr>
        <w:rPr>
          <w:rFonts w:eastAsia="Times New Roman"/>
          <w:bCs/>
          <w:lang w:eastAsia="en-US"/>
        </w:rPr>
      </w:pPr>
      <w:r w:rsidRPr="00A71693">
        <w:rPr>
          <w:rFonts w:eastAsia="Times New Roman"/>
          <w:bCs/>
          <w:lang w:eastAsia="en-US"/>
        </w:rPr>
        <w:t>202</w:t>
      </w:r>
      <w:r w:rsidR="001946DB" w:rsidRPr="00A71693">
        <w:rPr>
          <w:rFonts w:eastAsia="Times New Roman"/>
          <w:bCs/>
          <w:lang w:eastAsia="en-US"/>
        </w:rPr>
        <w:t>5</w:t>
      </w:r>
      <w:r w:rsidRPr="00A71693">
        <w:rPr>
          <w:rFonts w:eastAsia="Times New Roman"/>
          <w:bCs/>
          <w:lang w:eastAsia="en-US"/>
        </w:rPr>
        <w:t xml:space="preserve"> Integrated Resource Plan and</w:t>
      </w:r>
      <w:r w:rsidRPr="00A71693">
        <w:rPr>
          <w:rFonts w:eastAsia="Times New Roman"/>
          <w:bCs/>
          <w:lang w:eastAsia="en-US"/>
        </w:rPr>
        <w:tab/>
      </w:r>
      <w:r w:rsidRPr="00A71693">
        <w:rPr>
          <w:rFonts w:eastAsia="Times New Roman"/>
          <w:bCs/>
          <w:lang w:eastAsia="en-US"/>
        </w:rPr>
        <w:tab/>
        <w:t>)</w:t>
      </w:r>
      <w:r w:rsidRPr="00A71693">
        <w:rPr>
          <w:rFonts w:eastAsia="Times New Roman"/>
          <w:bCs/>
          <w:lang w:eastAsia="en-US"/>
        </w:rPr>
        <w:tab/>
      </w:r>
      <w:r w:rsidRPr="00A71693">
        <w:rPr>
          <w:rFonts w:eastAsia="Times New Roman"/>
          <w:bCs/>
          <w:lang w:eastAsia="en-US"/>
        </w:rPr>
        <w:tab/>
        <w:t xml:space="preserve">Docket No. </w:t>
      </w:r>
      <w:r w:rsidR="001946DB" w:rsidRPr="00A71693">
        <w:rPr>
          <w:rFonts w:eastAsia="Times New Roman"/>
          <w:bCs/>
          <w:lang w:eastAsia="en-US"/>
        </w:rPr>
        <w:t>56002</w:t>
      </w:r>
    </w:p>
    <w:p w14:paraId="77BEED94" w14:textId="77777777" w:rsidR="00E17FC1" w:rsidRPr="00A71693" w:rsidRDefault="00E17FC1">
      <w:pPr>
        <w:rPr>
          <w:rFonts w:eastAsia="Times New Roman"/>
          <w:bCs/>
          <w:lang w:eastAsia="en-US"/>
        </w:rPr>
      </w:pPr>
    </w:p>
    <w:p w14:paraId="72AD3116" w14:textId="77777777" w:rsidR="00E17FC1" w:rsidRPr="00A71693" w:rsidRDefault="00774707">
      <w:pPr>
        <w:rPr>
          <w:rFonts w:eastAsia="Times New Roman"/>
          <w:bCs/>
          <w:lang w:eastAsia="en-US"/>
        </w:rPr>
      </w:pPr>
      <w:r w:rsidRPr="00A71693">
        <w:rPr>
          <w:rFonts w:eastAsia="Times New Roman"/>
          <w:bCs/>
          <w:lang w:eastAsia="en-US"/>
        </w:rPr>
        <w:t>Georgia Power Company’s</w:t>
      </w:r>
      <w:r w:rsidRPr="00A71693">
        <w:rPr>
          <w:rFonts w:eastAsia="Times New Roman"/>
          <w:bCs/>
          <w:lang w:eastAsia="en-US"/>
        </w:rPr>
        <w:tab/>
      </w:r>
      <w:r w:rsidRPr="00A71693">
        <w:rPr>
          <w:rFonts w:eastAsia="Times New Roman"/>
          <w:bCs/>
          <w:lang w:eastAsia="en-US"/>
        </w:rPr>
        <w:tab/>
      </w:r>
      <w:r w:rsidRPr="00A71693">
        <w:rPr>
          <w:rFonts w:eastAsia="Times New Roman"/>
          <w:bCs/>
          <w:lang w:eastAsia="en-US"/>
        </w:rPr>
        <w:tab/>
        <w:t>)</w:t>
      </w:r>
    </w:p>
    <w:p w14:paraId="79410F9A" w14:textId="74421827" w:rsidR="00E17FC1" w:rsidRPr="00A71693" w:rsidRDefault="00774707">
      <w:pPr>
        <w:rPr>
          <w:rFonts w:eastAsia="Times New Roman"/>
          <w:bCs/>
          <w:lang w:eastAsia="en-US"/>
        </w:rPr>
      </w:pPr>
      <w:r w:rsidRPr="00A71693">
        <w:rPr>
          <w:rFonts w:eastAsia="Times New Roman"/>
          <w:bCs/>
          <w:lang w:eastAsia="en-US"/>
        </w:rPr>
        <w:t>202</w:t>
      </w:r>
      <w:r w:rsidR="001946DB" w:rsidRPr="00A71693">
        <w:rPr>
          <w:rFonts w:eastAsia="Times New Roman"/>
          <w:bCs/>
          <w:lang w:eastAsia="en-US"/>
        </w:rPr>
        <w:t>5</w:t>
      </w:r>
      <w:r w:rsidRPr="00A71693">
        <w:rPr>
          <w:rFonts w:eastAsia="Times New Roman"/>
          <w:bCs/>
          <w:lang w:eastAsia="en-US"/>
        </w:rPr>
        <w:t xml:space="preserve"> Application for the Certification,</w:t>
      </w:r>
      <w:r w:rsidRPr="00A71693">
        <w:rPr>
          <w:rFonts w:eastAsia="Times New Roman"/>
          <w:bCs/>
          <w:lang w:eastAsia="en-US"/>
        </w:rPr>
        <w:tab/>
        <w:t>)</w:t>
      </w:r>
      <w:r w:rsidRPr="00A71693">
        <w:rPr>
          <w:rFonts w:eastAsia="Times New Roman"/>
          <w:bCs/>
          <w:lang w:eastAsia="en-US"/>
        </w:rPr>
        <w:tab/>
      </w:r>
      <w:r w:rsidRPr="00A71693">
        <w:rPr>
          <w:rFonts w:eastAsia="Times New Roman"/>
          <w:bCs/>
          <w:lang w:eastAsia="en-US"/>
        </w:rPr>
        <w:tab/>
        <w:t xml:space="preserve">Docket No. </w:t>
      </w:r>
      <w:r w:rsidR="001946DB" w:rsidRPr="00A71693">
        <w:rPr>
          <w:rFonts w:eastAsia="Times New Roman"/>
          <w:bCs/>
          <w:lang w:eastAsia="en-US"/>
        </w:rPr>
        <w:t>56003</w:t>
      </w:r>
    </w:p>
    <w:p w14:paraId="50007577" w14:textId="3761E641" w:rsidR="00E17FC1" w:rsidRPr="00A71693" w:rsidRDefault="00774707">
      <w:pPr>
        <w:rPr>
          <w:rFonts w:eastAsia="Times New Roman"/>
          <w:bCs/>
          <w:lang w:eastAsia="en-US"/>
        </w:rPr>
      </w:pPr>
      <w:r w:rsidRPr="00A71693">
        <w:rPr>
          <w:rFonts w:eastAsia="Times New Roman"/>
          <w:bCs/>
          <w:lang w:eastAsia="en-US"/>
        </w:rPr>
        <w:t>Decertification and Amended</w:t>
      </w:r>
      <w:r w:rsidRPr="00A71693">
        <w:rPr>
          <w:rFonts w:eastAsia="Times New Roman"/>
          <w:bCs/>
          <w:lang w:eastAsia="en-US"/>
        </w:rPr>
        <w:tab/>
      </w:r>
      <w:r w:rsidRPr="00A71693">
        <w:rPr>
          <w:rFonts w:eastAsia="Times New Roman"/>
          <w:bCs/>
          <w:lang w:eastAsia="en-US"/>
        </w:rPr>
        <w:tab/>
      </w:r>
      <w:r w:rsidR="00A71693">
        <w:rPr>
          <w:rFonts w:eastAsia="Times New Roman"/>
          <w:bCs/>
          <w:lang w:eastAsia="en-US"/>
        </w:rPr>
        <w:tab/>
      </w:r>
      <w:r w:rsidRPr="00A71693">
        <w:rPr>
          <w:rFonts w:eastAsia="Times New Roman"/>
          <w:bCs/>
          <w:lang w:eastAsia="en-US"/>
        </w:rPr>
        <w:t>)</w:t>
      </w:r>
    </w:p>
    <w:p w14:paraId="3CA72D13" w14:textId="77777777" w:rsidR="00E17FC1" w:rsidRPr="00A71693" w:rsidRDefault="00774707">
      <w:pPr>
        <w:rPr>
          <w:rFonts w:eastAsia="Times New Roman"/>
          <w:bCs/>
          <w:lang w:eastAsia="en-US"/>
        </w:rPr>
      </w:pPr>
      <w:r w:rsidRPr="00A71693">
        <w:rPr>
          <w:rFonts w:eastAsia="Times New Roman"/>
          <w:bCs/>
          <w:lang w:eastAsia="en-US"/>
        </w:rPr>
        <w:t>Demand Side Management Plan</w:t>
      </w:r>
      <w:r w:rsidRPr="00A71693">
        <w:rPr>
          <w:rFonts w:eastAsia="Times New Roman"/>
          <w:bCs/>
          <w:lang w:eastAsia="en-US"/>
        </w:rPr>
        <w:tab/>
      </w:r>
      <w:r w:rsidRPr="00A71693">
        <w:rPr>
          <w:rFonts w:eastAsia="Times New Roman"/>
          <w:bCs/>
          <w:lang w:eastAsia="en-US"/>
        </w:rPr>
        <w:tab/>
        <w:t>)</w:t>
      </w:r>
    </w:p>
    <w:p w14:paraId="7478F962" w14:textId="77777777" w:rsidR="00E17FC1" w:rsidRPr="00CE661A" w:rsidRDefault="00E17FC1">
      <w:pPr>
        <w:rPr>
          <w:rFonts w:eastAsia="Times New Roman"/>
          <w:lang w:eastAsia="en-US"/>
        </w:rPr>
      </w:pPr>
    </w:p>
    <w:p w14:paraId="60040961" w14:textId="77777777" w:rsidR="00E17FC1" w:rsidRDefault="00E17FC1">
      <w:pPr>
        <w:jc w:val="center"/>
        <w:rPr>
          <w:b/>
          <w:u w:val="single"/>
        </w:rPr>
      </w:pPr>
    </w:p>
    <w:p w14:paraId="15E8B3EB" w14:textId="77777777" w:rsidR="00E17FC1" w:rsidRDefault="00E17FC1">
      <w:pPr>
        <w:jc w:val="center"/>
        <w:rPr>
          <w:b/>
          <w:u w:val="single"/>
        </w:rPr>
      </w:pPr>
    </w:p>
    <w:p w14:paraId="237DE31E" w14:textId="1ADACAF0" w:rsidR="006B0957" w:rsidRDefault="006B0957" w:rsidP="006B0957">
      <w:pPr>
        <w:jc w:val="center"/>
        <w:rPr>
          <w:b/>
          <w:u w:val="single"/>
        </w:rPr>
      </w:pPr>
      <w:r>
        <w:rPr>
          <w:b/>
          <w:u w:val="single"/>
        </w:rPr>
        <w:t xml:space="preserve">RESPONSE TO </w:t>
      </w:r>
      <w:r w:rsidR="00896534">
        <w:rPr>
          <w:b/>
          <w:u w:val="single"/>
        </w:rPr>
        <w:t>GIPL AND SOUTHFACE</w:t>
      </w:r>
      <w:r>
        <w:rPr>
          <w:b/>
          <w:u w:val="single"/>
        </w:rPr>
        <w:t xml:space="preserve">’S </w:t>
      </w:r>
    </w:p>
    <w:p w14:paraId="27F8A34E" w14:textId="0194FFC5" w:rsidR="00E17FC1" w:rsidRDefault="006B0957" w:rsidP="004A2914">
      <w:pPr>
        <w:jc w:val="center"/>
        <w:rPr>
          <w:b/>
          <w:u w:val="single"/>
        </w:rPr>
      </w:pPr>
      <w:r>
        <w:rPr>
          <w:b/>
          <w:u w:val="single"/>
        </w:rPr>
        <w:t xml:space="preserve">MOTION </w:t>
      </w:r>
      <w:r w:rsidR="004A2914">
        <w:rPr>
          <w:b/>
          <w:u w:val="single"/>
        </w:rPr>
        <w:t>TO ENFORCE THE VOGTLE SETTLEMENT</w:t>
      </w:r>
      <w:r>
        <w:rPr>
          <w:b/>
          <w:u w:val="single"/>
        </w:rPr>
        <w:t xml:space="preserve"> </w:t>
      </w:r>
    </w:p>
    <w:p w14:paraId="089DA408" w14:textId="77777777" w:rsidR="00E17FC1" w:rsidRDefault="00E17FC1">
      <w:pPr>
        <w:jc w:val="center"/>
        <w:rPr>
          <w:b/>
          <w:u w:val="single"/>
        </w:rPr>
      </w:pPr>
    </w:p>
    <w:p w14:paraId="60AE9271" w14:textId="77777777" w:rsidR="00A13A0F" w:rsidRPr="00813F3F" w:rsidRDefault="00A13A0F">
      <w:pPr>
        <w:jc w:val="center"/>
        <w:rPr>
          <w:b/>
          <w:u w:val="single"/>
        </w:rPr>
      </w:pPr>
    </w:p>
    <w:p w14:paraId="01CADB5B" w14:textId="74004247" w:rsidR="006B0957" w:rsidRDefault="006B0957" w:rsidP="0028569F">
      <w:pPr>
        <w:pStyle w:val="Heading"/>
        <w:numPr>
          <w:ilvl w:val="0"/>
          <w:numId w:val="23"/>
        </w:numPr>
      </w:pPr>
      <w:r w:rsidRPr="001E0C5D">
        <w:t>INTRODUCTION</w:t>
      </w:r>
    </w:p>
    <w:p w14:paraId="1B052ED5" w14:textId="32A9279A" w:rsidR="00E023A0" w:rsidRDefault="00E023A0" w:rsidP="00D97816">
      <w:pPr>
        <w:pStyle w:val="BodyText"/>
        <w:spacing w:after="0" w:line="480" w:lineRule="auto"/>
        <w:jc w:val="both"/>
        <w:rPr>
          <w:lang w:eastAsia="en-US"/>
        </w:rPr>
      </w:pPr>
      <w:r>
        <w:rPr>
          <w:lang w:eastAsia="en-US"/>
        </w:rPr>
        <w:t>On January 31, 2024, the Georgia Public Service Commission (“Commission”) entered its Order Adopting Stipulation (the “Vogtle Prudence Order”) in Docket No. 29849, Georgia Power Company’s Application to Adjust Rates to Include Reasonable and Prudent Plant Vogtle Units 3 and 4 Costs (the “Vogtle Prudence Proceeding”). In the Vogtle Prudence Order, the Commission adopted a Stipulation</w:t>
      </w:r>
      <w:r w:rsidR="00E500C0">
        <w:rPr>
          <w:lang w:eastAsia="en-US"/>
        </w:rPr>
        <w:t xml:space="preserve"> (the “Vogtle Prudence Stipulation”)</w:t>
      </w:r>
      <w:r w:rsidR="006A03B7">
        <w:rPr>
          <w:lang w:eastAsia="en-US"/>
        </w:rPr>
        <w:t>, which, among other things,</w:t>
      </w:r>
      <w:r w:rsidR="006956E5">
        <w:rPr>
          <w:lang w:eastAsia="en-US"/>
        </w:rPr>
        <w:t xml:space="preserve"> required Georgia Power Company (“Georgia Power” or the “Company”) to “propose and support </w:t>
      </w:r>
      <w:r w:rsidR="00670693">
        <w:rPr>
          <w:lang w:eastAsia="en-US"/>
        </w:rPr>
        <w:t xml:space="preserve">in </w:t>
      </w:r>
      <w:r w:rsidR="006956E5">
        <w:rPr>
          <w:lang w:eastAsia="en-US"/>
        </w:rPr>
        <w:t>the 2025 Integrated Resource Plan (“IRP”) and Demand Side Management (“DSM”) Certification dockets</w:t>
      </w:r>
      <w:r w:rsidR="00670693">
        <w:rPr>
          <w:lang w:eastAsia="en-US"/>
        </w:rPr>
        <w:t xml:space="preserve"> </w:t>
      </w:r>
      <w:r w:rsidR="006956E5">
        <w:rPr>
          <w:lang w:eastAsia="en-US"/>
        </w:rPr>
        <w:t>a base</w:t>
      </w:r>
      <w:r w:rsidR="008D283B">
        <w:rPr>
          <w:lang w:eastAsia="en-US"/>
        </w:rPr>
        <w:t xml:space="preserve"> </w:t>
      </w:r>
      <w:r w:rsidR="00670693">
        <w:rPr>
          <w:lang w:eastAsia="en-US"/>
        </w:rPr>
        <w:t xml:space="preserve">case </w:t>
      </w:r>
      <w:r w:rsidR="006956E5">
        <w:rPr>
          <w:lang w:eastAsia="en-US"/>
        </w:rPr>
        <w:t xml:space="preserve">of DSM performance savings targets of at least </w:t>
      </w:r>
      <w:r w:rsidR="00153F12">
        <w:rPr>
          <w:lang w:eastAsia="en-US"/>
        </w:rPr>
        <w:t>.</w:t>
      </w:r>
      <w:r w:rsidR="006956E5">
        <w:rPr>
          <w:lang w:eastAsia="en-US"/>
        </w:rPr>
        <w:t>75% of annual retail sales.”</w:t>
      </w:r>
      <w:r w:rsidR="006956E5">
        <w:rPr>
          <w:rStyle w:val="FootnoteReference"/>
          <w:lang w:eastAsia="en-US"/>
        </w:rPr>
        <w:footnoteReference w:id="2"/>
      </w:r>
    </w:p>
    <w:p w14:paraId="6F6BBEF4" w14:textId="45063907" w:rsidR="00153F12" w:rsidRDefault="001E0C5D" w:rsidP="00153F12">
      <w:pPr>
        <w:pStyle w:val="BodyText"/>
        <w:spacing w:after="0" w:line="480" w:lineRule="auto"/>
        <w:jc w:val="both"/>
        <w:rPr>
          <w:lang w:eastAsia="en-US"/>
        </w:rPr>
      </w:pPr>
      <w:r>
        <w:rPr>
          <w:lang w:eastAsia="en-US"/>
        </w:rPr>
        <w:t xml:space="preserve">On January 31, 2025, </w:t>
      </w:r>
      <w:r w:rsidR="003A2932">
        <w:rPr>
          <w:lang w:eastAsia="en-US"/>
        </w:rPr>
        <w:t xml:space="preserve">Georgia Power filed its 2025 </w:t>
      </w:r>
      <w:r w:rsidR="00153F12">
        <w:rPr>
          <w:lang w:eastAsia="en-US"/>
        </w:rPr>
        <w:t>IRP</w:t>
      </w:r>
      <w:r w:rsidR="00885075">
        <w:rPr>
          <w:lang w:eastAsia="en-US"/>
        </w:rPr>
        <w:t>,</w:t>
      </w:r>
      <w:r w:rsidR="00153F12">
        <w:rPr>
          <w:lang w:eastAsia="en-US"/>
        </w:rPr>
        <w:t xml:space="preserve"> as well as its</w:t>
      </w:r>
      <w:r>
        <w:rPr>
          <w:lang w:eastAsia="en-US"/>
        </w:rPr>
        <w:t xml:space="preserve"> Application for the </w:t>
      </w:r>
      <w:r>
        <w:rPr>
          <w:lang w:eastAsia="en-US"/>
        </w:rPr>
        <w:lastRenderedPageBreak/>
        <w:t xml:space="preserve">Certification, Decertification, and </w:t>
      </w:r>
      <w:r w:rsidR="008C3B6E">
        <w:rPr>
          <w:lang w:eastAsia="en-US"/>
        </w:rPr>
        <w:t xml:space="preserve">Amended </w:t>
      </w:r>
      <w:r w:rsidR="00153F12">
        <w:rPr>
          <w:lang w:eastAsia="en-US"/>
        </w:rPr>
        <w:t>DSM</w:t>
      </w:r>
      <w:r>
        <w:rPr>
          <w:lang w:eastAsia="en-US"/>
        </w:rPr>
        <w:t xml:space="preserve"> Plan</w:t>
      </w:r>
      <w:r w:rsidR="00930269">
        <w:rPr>
          <w:lang w:eastAsia="en-US"/>
        </w:rPr>
        <w:t xml:space="preserve"> (“DSM Application”)</w:t>
      </w:r>
      <w:r w:rsidR="00885075">
        <w:rPr>
          <w:lang w:eastAsia="en-US"/>
        </w:rPr>
        <w:t>,</w:t>
      </w:r>
      <w:r>
        <w:rPr>
          <w:lang w:eastAsia="en-US"/>
        </w:rPr>
        <w:t xml:space="preserve"> in Docket Nos. 56002 and 56003</w:t>
      </w:r>
      <w:r w:rsidR="00153F12">
        <w:rPr>
          <w:lang w:eastAsia="en-US"/>
        </w:rPr>
        <w:t>, respectively</w:t>
      </w:r>
      <w:r>
        <w:rPr>
          <w:lang w:eastAsia="en-US"/>
        </w:rPr>
        <w:t xml:space="preserve">. </w:t>
      </w:r>
      <w:r w:rsidR="00A4113F">
        <w:rPr>
          <w:lang w:eastAsia="en-US"/>
        </w:rPr>
        <w:t>Pursuant to the plain terms of the Vogtle Prudence Order</w:t>
      </w:r>
      <w:r w:rsidR="00796B16">
        <w:rPr>
          <w:lang w:eastAsia="en-US"/>
        </w:rPr>
        <w:t>, the Company</w:t>
      </w:r>
      <w:r w:rsidR="00AB0158">
        <w:rPr>
          <w:lang w:eastAsia="en-US"/>
        </w:rPr>
        <w:t>’s</w:t>
      </w:r>
      <w:r w:rsidR="00796B16">
        <w:rPr>
          <w:lang w:eastAsia="en-US"/>
        </w:rPr>
        <w:t xml:space="preserve"> </w:t>
      </w:r>
      <w:r w:rsidR="00AB0158">
        <w:rPr>
          <w:lang w:eastAsia="en-US"/>
        </w:rPr>
        <w:t xml:space="preserve">DSM </w:t>
      </w:r>
      <w:r w:rsidR="00885075">
        <w:rPr>
          <w:lang w:eastAsia="en-US"/>
        </w:rPr>
        <w:t>p</w:t>
      </w:r>
      <w:r w:rsidR="00796B16">
        <w:rPr>
          <w:lang w:eastAsia="en-US"/>
        </w:rPr>
        <w:t xml:space="preserve">roposed </w:t>
      </w:r>
      <w:r w:rsidR="00885075">
        <w:rPr>
          <w:lang w:eastAsia="en-US"/>
        </w:rPr>
        <w:t>c</w:t>
      </w:r>
      <w:r w:rsidR="00796B16">
        <w:rPr>
          <w:lang w:eastAsia="en-US"/>
        </w:rPr>
        <w:t>ase incorporated the 0.75% DSM savings target</w:t>
      </w:r>
      <w:r w:rsidR="00885075">
        <w:rPr>
          <w:lang w:eastAsia="en-US"/>
        </w:rPr>
        <w:t xml:space="preserve"> (the “Proposed Case”) and </w:t>
      </w:r>
      <w:r w:rsidR="00AB0158">
        <w:rPr>
          <w:lang w:eastAsia="en-US"/>
        </w:rPr>
        <w:t xml:space="preserve">the Company </w:t>
      </w:r>
      <w:r w:rsidR="00885075">
        <w:rPr>
          <w:lang w:eastAsia="en-US"/>
        </w:rPr>
        <w:t>supported the Proposed Case throughout the course of the 2025 IRP proceeding</w:t>
      </w:r>
      <w:r w:rsidR="00796B16">
        <w:rPr>
          <w:lang w:eastAsia="en-US"/>
        </w:rPr>
        <w:t>.</w:t>
      </w:r>
      <w:r w:rsidR="00796B16">
        <w:rPr>
          <w:rStyle w:val="FootnoteReference"/>
          <w:lang w:eastAsia="en-US"/>
        </w:rPr>
        <w:footnoteReference w:id="3"/>
      </w:r>
      <w:r w:rsidR="000E4803">
        <w:rPr>
          <w:lang w:eastAsia="en-US"/>
        </w:rPr>
        <w:t xml:space="preserve"> </w:t>
      </w:r>
      <w:r w:rsidR="00153F12">
        <w:rPr>
          <w:lang w:eastAsia="en-US"/>
        </w:rPr>
        <w:t xml:space="preserve">On July 9, 2025, the Public Interest Advocacy Staff (“PIA Staff”) filed a Stipulation between the Company and PIA Staff </w:t>
      </w:r>
      <w:r w:rsidR="00670693">
        <w:rPr>
          <w:lang w:eastAsia="en-US"/>
        </w:rPr>
        <w:t>that is intended to resolve all issues in the 2025 IRP and DSM Certification dockets (the “2025 IRP Stipulation”).</w:t>
      </w:r>
      <w:r w:rsidR="00670693">
        <w:rPr>
          <w:rStyle w:val="FootnoteReference"/>
          <w:lang w:eastAsia="en-US"/>
        </w:rPr>
        <w:footnoteReference w:id="4"/>
      </w:r>
    </w:p>
    <w:p w14:paraId="6AC56B5D" w14:textId="78AEAAE1" w:rsidR="004F44B1" w:rsidRDefault="00153F12" w:rsidP="00DF64E6">
      <w:pPr>
        <w:pStyle w:val="BodyText"/>
        <w:spacing w:after="0" w:line="480" w:lineRule="auto"/>
        <w:jc w:val="both"/>
        <w:rPr>
          <w:lang w:eastAsia="en-US"/>
        </w:rPr>
      </w:pPr>
      <w:r>
        <w:rPr>
          <w:lang w:eastAsia="en-US"/>
        </w:rPr>
        <w:t xml:space="preserve">On July 10, 2025, Georgia Interfaith Power &amp; Light (“GIPL”) and Southface Energy Institute (“Southface,” and collectively, “GIPL/Southface”) filed a Motion to Enforce the Vogtle Settlement, alleging </w:t>
      </w:r>
      <w:r w:rsidR="00670693">
        <w:rPr>
          <w:lang w:eastAsia="en-US"/>
        </w:rPr>
        <w:t xml:space="preserve">that the 2025 IRP Stipulation “supports the wholesale rejection of </w:t>
      </w:r>
      <w:r w:rsidR="004F44B1">
        <w:rPr>
          <w:lang w:eastAsia="en-US"/>
        </w:rPr>
        <w:t xml:space="preserve">[the DSM performance savings] target,” and that “[b]y signing a stipulation counseling </w:t>
      </w:r>
      <w:r w:rsidR="004F44B1">
        <w:rPr>
          <w:i/>
          <w:iCs/>
          <w:lang w:eastAsia="en-US"/>
        </w:rPr>
        <w:t xml:space="preserve">against </w:t>
      </w:r>
      <w:r w:rsidR="004F44B1">
        <w:rPr>
          <w:lang w:eastAsia="en-US"/>
        </w:rPr>
        <w:t>the Vogtle DSM terms, Georgia Power has abandoned its ‘support’ of its proposed case, in egregious violation of the Vogtle Stipulation.”</w:t>
      </w:r>
      <w:r w:rsidR="004F44B1">
        <w:rPr>
          <w:rStyle w:val="FootnoteReference"/>
          <w:lang w:eastAsia="en-US"/>
        </w:rPr>
        <w:footnoteReference w:id="5"/>
      </w:r>
      <w:r w:rsidR="004F44B1">
        <w:rPr>
          <w:lang w:eastAsia="en-US"/>
        </w:rPr>
        <w:t xml:space="preserve"> As explained more fully below, </w:t>
      </w:r>
      <w:r w:rsidR="00A75E01">
        <w:rPr>
          <w:lang w:eastAsia="en-US"/>
        </w:rPr>
        <w:t>Georgia Power fulfilled its obligation</w:t>
      </w:r>
      <w:r w:rsidR="00A51D8E">
        <w:rPr>
          <w:lang w:eastAsia="en-US"/>
        </w:rPr>
        <w:t>s</w:t>
      </w:r>
      <w:r w:rsidR="00A75E01">
        <w:rPr>
          <w:lang w:eastAsia="en-US"/>
        </w:rPr>
        <w:t xml:space="preserve"> </w:t>
      </w:r>
      <w:r w:rsidR="00A51D8E">
        <w:rPr>
          <w:lang w:eastAsia="en-US"/>
        </w:rPr>
        <w:t xml:space="preserve">under </w:t>
      </w:r>
      <w:r w:rsidR="00A75E01">
        <w:rPr>
          <w:lang w:eastAsia="en-US"/>
        </w:rPr>
        <w:t>the Vogtle Prudence Stipulation</w:t>
      </w:r>
      <w:r w:rsidR="00814BE7">
        <w:rPr>
          <w:lang w:eastAsia="en-US"/>
        </w:rPr>
        <w:t xml:space="preserve"> and the Company’s commitment to that obligation has provided benefits through the DSM plan proposed for approval in the 2025 IRP Stipulation</w:t>
      </w:r>
      <w:r w:rsidR="00A75E01">
        <w:rPr>
          <w:lang w:eastAsia="en-US"/>
        </w:rPr>
        <w:t xml:space="preserve">. </w:t>
      </w:r>
      <w:r w:rsidR="004F44B1">
        <w:rPr>
          <w:lang w:eastAsia="en-US"/>
        </w:rPr>
        <w:t xml:space="preserve">GIPL/Southface’s </w:t>
      </w:r>
      <w:r w:rsidR="00A6500C">
        <w:rPr>
          <w:lang w:eastAsia="en-US"/>
        </w:rPr>
        <w:t xml:space="preserve">purported </w:t>
      </w:r>
      <w:r w:rsidR="006A03B7">
        <w:rPr>
          <w:lang w:eastAsia="en-US"/>
        </w:rPr>
        <w:t>expectations about the interplay between the Vogtle Prudence Stipulation and the 2025 IRP Stipulation are unrealistic</w:t>
      </w:r>
      <w:r w:rsidR="00A75E01">
        <w:rPr>
          <w:lang w:eastAsia="en-US"/>
        </w:rPr>
        <w:t xml:space="preserve"> and unsupported by the plain language of th</w:t>
      </w:r>
      <w:r w:rsidR="00A6500C">
        <w:rPr>
          <w:lang w:eastAsia="en-US"/>
        </w:rPr>
        <w:t>e Vogtle Prudence Stipulation</w:t>
      </w:r>
      <w:r w:rsidR="006A03B7">
        <w:rPr>
          <w:lang w:eastAsia="en-US"/>
        </w:rPr>
        <w:t xml:space="preserve">, </w:t>
      </w:r>
      <w:r w:rsidR="00A51D8E">
        <w:rPr>
          <w:lang w:eastAsia="en-US"/>
        </w:rPr>
        <w:t xml:space="preserve">and </w:t>
      </w:r>
      <w:r w:rsidR="006A03B7">
        <w:rPr>
          <w:lang w:eastAsia="en-US"/>
        </w:rPr>
        <w:t xml:space="preserve">their </w:t>
      </w:r>
      <w:r w:rsidR="004F44B1">
        <w:rPr>
          <w:lang w:eastAsia="en-US"/>
        </w:rPr>
        <w:t>allegations are completely without merit.</w:t>
      </w:r>
      <w:r w:rsidR="00DF64E6">
        <w:rPr>
          <w:lang w:eastAsia="en-US"/>
        </w:rPr>
        <w:t xml:space="preserve"> The </w:t>
      </w:r>
      <w:r w:rsidR="00DF64E6">
        <w:rPr>
          <w:lang w:eastAsia="en-US"/>
        </w:rPr>
        <w:lastRenderedPageBreak/>
        <w:t>Commission should accordingly deny GIPL/Southface’s motion.</w:t>
      </w:r>
    </w:p>
    <w:p w14:paraId="0DBD0A36" w14:textId="487B37A6" w:rsidR="003A2932" w:rsidRPr="007C3E27" w:rsidRDefault="001E0C5D" w:rsidP="0028569F">
      <w:pPr>
        <w:pStyle w:val="Heading"/>
        <w:numPr>
          <w:ilvl w:val="0"/>
          <w:numId w:val="23"/>
        </w:numPr>
      </w:pPr>
      <w:r>
        <w:t>ARGUMENT</w:t>
      </w:r>
    </w:p>
    <w:p w14:paraId="14D6AB62" w14:textId="5BA0F920" w:rsidR="00245B3A" w:rsidRDefault="006C5198" w:rsidP="00245B3A">
      <w:pPr>
        <w:pStyle w:val="BodyText"/>
        <w:numPr>
          <w:ilvl w:val="0"/>
          <w:numId w:val="22"/>
        </w:numPr>
        <w:spacing w:before="240"/>
        <w:ind w:left="360"/>
        <w:jc w:val="both"/>
        <w:rPr>
          <w:b/>
          <w:bCs/>
          <w:lang w:eastAsia="en-US"/>
        </w:rPr>
      </w:pPr>
      <w:r>
        <w:rPr>
          <w:b/>
          <w:bCs/>
          <w:lang w:eastAsia="en-US"/>
        </w:rPr>
        <w:t xml:space="preserve">The Company </w:t>
      </w:r>
      <w:r w:rsidR="00A51D8E">
        <w:rPr>
          <w:b/>
          <w:bCs/>
          <w:lang w:eastAsia="en-US"/>
        </w:rPr>
        <w:t xml:space="preserve">fulfilled </w:t>
      </w:r>
      <w:r>
        <w:rPr>
          <w:b/>
          <w:bCs/>
          <w:lang w:eastAsia="en-US"/>
        </w:rPr>
        <w:t>the plain terms of the Vogtle Prudence Settlement.</w:t>
      </w:r>
    </w:p>
    <w:p w14:paraId="4B7242DA" w14:textId="69D2474E" w:rsidR="00245B3A" w:rsidRDefault="00245B3A" w:rsidP="00245B3A">
      <w:pPr>
        <w:spacing w:line="480" w:lineRule="auto"/>
        <w:ind w:firstLine="720"/>
        <w:jc w:val="both"/>
        <w:rPr>
          <w:lang w:eastAsia="en-US"/>
        </w:rPr>
      </w:pPr>
      <w:r>
        <w:rPr>
          <w:lang w:eastAsia="en-US"/>
        </w:rPr>
        <w:t xml:space="preserve">Item 15 of the Prudence Stipulation required Georgia Power Company to </w:t>
      </w:r>
      <w:r w:rsidR="00885075">
        <w:rPr>
          <w:lang w:eastAsia="en-US"/>
        </w:rPr>
        <w:t>“</w:t>
      </w:r>
      <w:r w:rsidRPr="005D42C2">
        <w:rPr>
          <w:i/>
          <w:iCs/>
          <w:lang w:eastAsia="en-US"/>
        </w:rPr>
        <w:t xml:space="preserve">propose and </w:t>
      </w:r>
      <w:r w:rsidR="00885075">
        <w:rPr>
          <w:i/>
          <w:iCs/>
          <w:lang w:eastAsia="en-US"/>
        </w:rPr>
        <w:t>support</w:t>
      </w:r>
      <w:r w:rsidR="00885075" w:rsidRPr="00885075">
        <w:rPr>
          <w:lang w:eastAsia="en-US"/>
        </w:rPr>
        <w:t>”</w:t>
      </w:r>
      <w:r w:rsidRPr="00885075">
        <w:rPr>
          <w:lang w:eastAsia="en-US"/>
        </w:rPr>
        <w:t xml:space="preserve"> </w:t>
      </w:r>
      <w:r>
        <w:rPr>
          <w:lang w:eastAsia="en-US"/>
        </w:rPr>
        <w:t xml:space="preserve">in the 2025 </w:t>
      </w:r>
      <w:r w:rsidR="00885075">
        <w:rPr>
          <w:lang w:eastAsia="en-US"/>
        </w:rPr>
        <w:t>IRP</w:t>
      </w:r>
      <w:r>
        <w:rPr>
          <w:lang w:eastAsia="en-US"/>
        </w:rPr>
        <w:t xml:space="preserve"> and </w:t>
      </w:r>
      <w:r w:rsidR="00885075">
        <w:rPr>
          <w:lang w:eastAsia="en-US"/>
        </w:rPr>
        <w:t xml:space="preserve">DSM </w:t>
      </w:r>
      <w:r>
        <w:rPr>
          <w:lang w:eastAsia="en-US"/>
        </w:rPr>
        <w:t xml:space="preserve">Certification dockets a base case of DSM performance savings targets of at least </w:t>
      </w:r>
      <w:r w:rsidR="00885075">
        <w:rPr>
          <w:lang w:eastAsia="en-US"/>
        </w:rPr>
        <w:t>0</w:t>
      </w:r>
      <w:r>
        <w:rPr>
          <w:lang w:eastAsia="en-US"/>
        </w:rPr>
        <w:t>.75% of annual retail sales.</w:t>
      </w:r>
      <w:r>
        <w:rPr>
          <w:rStyle w:val="FootnoteReference"/>
          <w:lang w:eastAsia="en-US"/>
        </w:rPr>
        <w:footnoteReference w:id="6"/>
      </w:r>
      <w:r>
        <w:rPr>
          <w:lang w:eastAsia="en-US"/>
        </w:rPr>
        <w:t xml:space="preserve"> GIPL/Southface argue that</w:t>
      </w:r>
      <w:r w:rsidR="00661B83">
        <w:rPr>
          <w:lang w:eastAsia="en-US"/>
        </w:rPr>
        <w:t>, by signing</w:t>
      </w:r>
      <w:r>
        <w:rPr>
          <w:lang w:eastAsia="en-US"/>
        </w:rPr>
        <w:t xml:space="preserve"> the 2025 IRP Stipulation</w:t>
      </w:r>
      <w:r w:rsidR="00661B83">
        <w:rPr>
          <w:lang w:eastAsia="en-US"/>
        </w:rPr>
        <w:t>,</w:t>
      </w:r>
      <w:r>
        <w:rPr>
          <w:lang w:eastAsia="en-US"/>
        </w:rPr>
        <w:t xml:space="preserve"> </w:t>
      </w:r>
      <w:r w:rsidR="00661B83">
        <w:rPr>
          <w:lang w:eastAsia="en-US"/>
        </w:rPr>
        <w:t>Georgia Power has somehow failed to support its own Proposed Case, abandoned its support for the Vogtle Prudence Stipulation, and “brazenly violate[d]” a Commission order.</w:t>
      </w:r>
      <w:r w:rsidR="005D42C2">
        <w:rPr>
          <w:rStyle w:val="FootnoteReference"/>
          <w:lang w:eastAsia="en-US"/>
        </w:rPr>
        <w:footnoteReference w:id="7"/>
      </w:r>
    </w:p>
    <w:p w14:paraId="05664934" w14:textId="722484E3" w:rsidR="00EB0CF6" w:rsidRDefault="00661B83" w:rsidP="00EB0CF6">
      <w:pPr>
        <w:spacing w:line="480" w:lineRule="auto"/>
        <w:ind w:firstLine="720"/>
        <w:jc w:val="both"/>
        <w:rPr>
          <w:lang w:eastAsia="en-US"/>
        </w:rPr>
      </w:pPr>
      <w:r>
        <w:rPr>
          <w:lang w:eastAsia="en-US"/>
        </w:rPr>
        <w:t xml:space="preserve">On the contrary, the Company both proposed the 0.75% DSM savings target </w:t>
      </w:r>
      <w:r>
        <w:rPr>
          <w:i/>
          <w:iCs/>
          <w:lang w:eastAsia="en-US"/>
        </w:rPr>
        <w:t xml:space="preserve">and </w:t>
      </w:r>
      <w:r>
        <w:rPr>
          <w:lang w:eastAsia="en-US"/>
        </w:rPr>
        <w:t xml:space="preserve">supported that same target throughout the IRP proceeding. The 0.75% DSM savings target was part of the Company’s </w:t>
      </w:r>
      <w:r>
        <w:rPr>
          <w:i/>
          <w:iCs/>
          <w:lang w:eastAsia="en-US"/>
        </w:rPr>
        <w:t xml:space="preserve">Proposed </w:t>
      </w:r>
      <w:r>
        <w:rPr>
          <w:lang w:eastAsia="en-US"/>
        </w:rPr>
        <w:t>Case</w:t>
      </w:r>
      <w:r w:rsidR="00E53EA3">
        <w:rPr>
          <w:lang w:eastAsia="en-US"/>
        </w:rPr>
        <w:t xml:space="preserve">, which </w:t>
      </w:r>
      <w:r>
        <w:rPr>
          <w:lang w:eastAsia="en-US"/>
        </w:rPr>
        <w:t xml:space="preserve">was included </w:t>
      </w:r>
      <w:r w:rsidR="00A6500C">
        <w:rPr>
          <w:lang w:eastAsia="en-US"/>
        </w:rPr>
        <w:t xml:space="preserve">in </w:t>
      </w:r>
      <w:r>
        <w:rPr>
          <w:lang w:eastAsia="en-US"/>
        </w:rPr>
        <w:t>the Company’s initial filing.</w:t>
      </w:r>
      <w:r>
        <w:rPr>
          <w:rStyle w:val="FootnoteReference"/>
          <w:lang w:eastAsia="en-US"/>
        </w:rPr>
        <w:footnoteReference w:id="8"/>
      </w:r>
      <w:r w:rsidR="00EB0CF6">
        <w:rPr>
          <w:lang w:eastAsia="en-US"/>
        </w:rPr>
        <w:t xml:space="preserve"> The Company also </w:t>
      </w:r>
      <w:r w:rsidR="00A51D8E">
        <w:rPr>
          <w:lang w:eastAsia="en-US"/>
        </w:rPr>
        <w:t xml:space="preserve">thoroughly </w:t>
      </w:r>
      <w:r w:rsidR="00EB0CF6">
        <w:rPr>
          <w:lang w:eastAsia="en-US"/>
        </w:rPr>
        <w:t xml:space="preserve">supported its Proposed Case throughout discovery, answering </w:t>
      </w:r>
      <w:r w:rsidR="00DB545E">
        <w:rPr>
          <w:lang w:eastAsia="en-US"/>
        </w:rPr>
        <w:t>multiple</w:t>
      </w:r>
      <w:r w:rsidR="00EB0CF6">
        <w:rPr>
          <w:lang w:eastAsia="en-US"/>
        </w:rPr>
        <w:t xml:space="preserve"> questions about the Proposed Case</w:t>
      </w:r>
      <w:r w:rsidR="00DB545E">
        <w:rPr>
          <w:lang w:eastAsia="en-US"/>
        </w:rPr>
        <w:t xml:space="preserve"> and the impact of a 0.75% DSM savings target</w:t>
      </w:r>
      <w:r w:rsidR="00EB0CF6">
        <w:rPr>
          <w:lang w:eastAsia="en-US"/>
        </w:rPr>
        <w:t>.</w:t>
      </w:r>
      <w:r w:rsidR="00DB545E">
        <w:rPr>
          <w:rStyle w:val="FootnoteReference"/>
          <w:lang w:eastAsia="en-US"/>
        </w:rPr>
        <w:footnoteReference w:id="9"/>
      </w:r>
      <w:r w:rsidR="00EB0CF6">
        <w:rPr>
          <w:lang w:eastAsia="en-US"/>
        </w:rPr>
        <w:t xml:space="preserve"> In direct and rebuttal testimony and respective hearings, the Company affirmed and reaffirmed its support for </w:t>
      </w:r>
      <w:r w:rsidR="00A51D8E">
        <w:rPr>
          <w:lang w:eastAsia="en-US"/>
        </w:rPr>
        <w:t xml:space="preserve">the </w:t>
      </w:r>
      <w:r w:rsidR="00EB0CF6">
        <w:rPr>
          <w:lang w:eastAsia="en-US"/>
        </w:rPr>
        <w:t>Proposed Case.</w:t>
      </w:r>
      <w:r w:rsidR="00C346B4">
        <w:rPr>
          <w:rStyle w:val="FootnoteReference"/>
          <w:lang w:eastAsia="en-US"/>
        </w:rPr>
        <w:footnoteReference w:id="10"/>
      </w:r>
    </w:p>
    <w:p w14:paraId="426B84CE" w14:textId="09E5203A" w:rsidR="00EB0CF6" w:rsidRPr="00EB0CF6" w:rsidRDefault="00EB0CF6" w:rsidP="00EB0CF6">
      <w:pPr>
        <w:spacing w:line="480" w:lineRule="auto"/>
        <w:ind w:firstLine="720"/>
        <w:jc w:val="both"/>
        <w:rPr>
          <w:lang w:eastAsia="en-US"/>
        </w:rPr>
      </w:pPr>
      <w:r>
        <w:rPr>
          <w:lang w:eastAsia="en-US"/>
        </w:rPr>
        <w:lastRenderedPageBreak/>
        <w:t xml:space="preserve">There is no question that a 0.75% DSM savings target was proposed in the 2025 IRP and that the Company has supported that savings target throughout the course of the proceeding. Therefore, it is indisputable that the Company </w:t>
      </w:r>
      <w:r w:rsidR="00E500C0">
        <w:rPr>
          <w:lang w:eastAsia="en-US"/>
        </w:rPr>
        <w:t xml:space="preserve">fulfilled </w:t>
      </w:r>
      <w:r>
        <w:rPr>
          <w:lang w:eastAsia="en-US"/>
        </w:rPr>
        <w:t xml:space="preserve">the plain terms of the Vogtle Prudence Settlement. </w:t>
      </w:r>
    </w:p>
    <w:p w14:paraId="097E764C" w14:textId="695D21FB" w:rsidR="00805CA8" w:rsidRDefault="00A6500C" w:rsidP="00885075">
      <w:pPr>
        <w:pStyle w:val="BodyText"/>
        <w:keepNext/>
        <w:keepLines/>
        <w:widowControl/>
        <w:numPr>
          <w:ilvl w:val="0"/>
          <w:numId w:val="22"/>
        </w:numPr>
        <w:spacing w:before="240"/>
        <w:ind w:left="360"/>
        <w:jc w:val="both"/>
        <w:rPr>
          <w:b/>
          <w:bCs/>
          <w:lang w:eastAsia="en-US"/>
        </w:rPr>
      </w:pPr>
      <w:r>
        <w:rPr>
          <w:b/>
          <w:bCs/>
          <w:lang w:eastAsia="en-US"/>
        </w:rPr>
        <w:t xml:space="preserve">The requirement that </w:t>
      </w:r>
      <w:r w:rsidRPr="0042324E">
        <w:rPr>
          <w:b/>
          <w:bCs/>
          <w:lang w:eastAsia="en-US"/>
        </w:rPr>
        <w:t>Georgia Power Company “</w:t>
      </w:r>
      <w:r w:rsidRPr="0042324E">
        <w:rPr>
          <w:b/>
          <w:bCs/>
          <w:i/>
          <w:iCs/>
          <w:lang w:eastAsia="en-US"/>
        </w:rPr>
        <w:t>propose and support</w:t>
      </w:r>
      <w:r w:rsidRPr="0042324E">
        <w:rPr>
          <w:b/>
          <w:bCs/>
          <w:lang w:eastAsia="en-US"/>
        </w:rPr>
        <w:t>” a base case of DSM performance savings targets of at least 0.75% of annual retail sales</w:t>
      </w:r>
      <w:r>
        <w:rPr>
          <w:b/>
          <w:bCs/>
          <w:lang w:eastAsia="en-US"/>
        </w:rPr>
        <w:t xml:space="preserve"> does not prohibit Georgia Power from compromising in settlement.</w:t>
      </w:r>
    </w:p>
    <w:p w14:paraId="6EEFD2D5" w14:textId="38F30B0E" w:rsidR="00B96FC4" w:rsidRDefault="00B96FC4" w:rsidP="00885075">
      <w:pPr>
        <w:pStyle w:val="BodyText"/>
        <w:keepNext/>
        <w:keepLines/>
        <w:widowControl/>
        <w:spacing w:after="0" w:line="480" w:lineRule="auto"/>
        <w:jc w:val="both"/>
        <w:rPr>
          <w:lang w:eastAsia="en-US"/>
        </w:rPr>
      </w:pPr>
      <w:r>
        <w:rPr>
          <w:lang w:eastAsia="en-US"/>
        </w:rPr>
        <w:t>Despite the ample evidence of the Company’s adherence to</w:t>
      </w:r>
      <w:r w:rsidR="00E500C0">
        <w:rPr>
          <w:lang w:eastAsia="en-US"/>
        </w:rPr>
        <w:t xml:space="preserve"> and fulfillment of</w:t>
      </w:r>
      <w:r>
        <w:rPr>
          <w:lang w:eastAsia="en-US"/>
        </w:rPr>
        <w:t xml:space="preserve"> the Vogtle Prudence Stipulation and Order, GIPL/Southface </w:t>
      </w:r>
      <w:r w:rsidR="00A6500C">
        <w:rPr>
          <w:lang w:eastAsia="en-US"/>
        </w:rPr>
        <w:t>contort</w:t>
      </w:r>
      <w:r>
        <w:rPr>
          <w:lang w:eastAsia="en-US"/>
        </w:rPr>
        <w:t xml:space="preserve"> the plain meanings of “propose” and “support” to argue that the Company somehow missed its mark</w:t>
      </w:r>
      <w:r w:rsidR="00885075">
        <w:rPr>
          <w:lang w:eastAsia="en-US"/>
        </w:rPr>
        <w:t xml:space="preserve"> because the 0.75% DSM savings target was not included in the final version of the 2025 IRP Stipulation</w:t>
      </w:r>
      <w:r>
        <w:rPr>
          <w:lang w:eastAsia="en-US"/>
        </w:rPr>
        <w:t xml:space="preserve">. </w:t>
      </w:r>
      <w:r w:rsidR="003834B6">
        <w:rPr>
          <w:lang w:eastAsia="en-US"/>
        </w:rPr>
        <w:t>“Propose” is defined as “to form or put forward a plan or intention.”</w:t>
      </w:r>
      <w:r w:rsidR="003834B6">
        <w:rPr>
          <w:rStyle w:val="FootnoteReference"/>
          <w:lang w:eastAsia="en-US"/>
        </w:rPr>
        <w:footnoteReference w:id="11"/>
      </w:r>
      <w:r w:rsidR="003834B6">
        <w:rPr>
          <w:lang w:eastAsia="en-US"/>
        </w:rPr>
        <w:t xml:space="preserve"> “Support</w:t>
      </w:r>
      <w:r w:rsidR="00671294">
        <w:rPr>
          <w:lang w:eastAsia="en-US"/>
        </w:rPr>
        <w:t>”</w:t>
      </w:r>
      <w:r w:rsidR="003834B6">
        <w:rPr>
          <w:lang w:eastAsia="en-US"/>
        </w:rPr>
        <w:t xml:space="preserve"> is defined as “to promote the interests or cause of, to uphold or defend as valid or right, to argue or vote for.”</w:t>
      </w:r>
      <w:r w:rsidR="003834B6">
        <w:rPr>
          <w:rStyle w:val="FootnoteReference"/>
          <w:lang w:eastAsia="en-US"/>
        </w:rPr>
        <w:footnoteReference w:id="12"/>
      </w:r>
      <w:r w:rsidR="003834B6">
        <w:rPr>
          <w:lang w:eastAsia="en-US"/>
        </w:rPr>
        <w:t xml:space="preserve"> Yet nowhere in either of these definitions </w:t>
      </w:r>
      <w:r w:rsidR="00152097">
        <w:rPr>
          <w:lang w:eastAsia="en-US"/>
        </w:rPr>
        <w:t xml:space="preserve">or in the Vogtle Prudence Stipulation </w:t>
      </w:r>
      <w:r w:rsidR="003834B6">
        <w:rPr>
          <w:lang w:eastAsia="en-US"/>
        </w:rPr>
        <w:t xml:space="preserve">is there </w:t>
      </w:r>
      <w:r w:rsidR="00152097">
        <w:rPr>
          <w:lang w:eastAsia="en-US"/>
        </w:rPr>
        <w:t xml:space="preserve">justification to interpret </w:t>
      </w:r>
      <w:r w:rsidR="003834B6">
        <w:rPr>
          <w:lang w:eastAsia="en-US"/>
        </w:rPr>
        <w:t xml:space="preserve"> </w:t>
      </w:r>
      <w:r w:rsidR="00A84098">
        <w:rPr>
          <w:lang w:eastAsia="en-US"/>
        </w:rPr>
        <w:t>“</w:t>
      </w:r>
      <w:r w:rsidR="003834B6">
        <w:rPr>
          <w:lang w:eastAsia="en-US"/>
        </w:rPr>
        <w:t>propos</w:t>
      </w:r>
      <w:r w:rsidR="00A84098">
        <w:rPr>
          <w:lang w:eastAsia="en-US"/>
        </w:rPr>
        <w:t>e”</w:t>
      </w:r>
      <w:r w:rsidR="003834B6">
        <w:rPr>
          <w:lang w:eastAsia="en-US"/>
        </w:rPr>
        <w:t xml:space="preserve"> </w:t>
      </w:r>
      <w:r w:rsidR="00A6500C">
        <w:rPr>
          <w:lang w:eastAsia="en-US"/>
        </w:rPr>
        <w:t>and</w:t>
      </w:r>
      <w:r w:rsidR="003834B6">
        <w:rPr>
          <w:lang w:eastAsia="en-US"/>
        </w:rPr>
        <w:t xml:space="preserve"> </w:t>
      </w:r>
      <w:r w:rsidR="00A84098">
        <w:rPr>
          <w:lang w:eastAsia="en-US"/>
        </w:rPr>
        <w:t xml:space="preserve">“support” </w:t>
      </w:r>
      <w:r w:rsidR="00152097">
        <w:rPr>
          <w:lang w:eastAsia="en-US"/>
        </w:rPr>
        <w:t xml:space="preserve">to </w:t>
      </w:r>
      <w:r w:rsidR="00793949">
        <w:rPr>
          <w:lang w:eastAsia="en-US"/>
        </w:rPr>
        <w:t>mean that th</w:t>
      </w:r>
      <w:r w:rsidR="00152097">
        <w:rPr>
          <w:lang w:eastAsia="en-US"/>
        </w:rPr>
        <w:t>e</w:t>
      </w:r>
      <w:r w:rsidR="00793949">
        <w:rPr>
          <w:lang w:eastAsia="en-US"/>
        </w:rPr>
        <w:t xml:space="preserve"> </w:t>
      </w:r>
      <w:r w:rsidR="00152097">
        <w:rPr>
          <w:lang w:eastAsia="en-US"/>
        </w:rPr>
        <w:t xml:space="preserve">Company cannot reach reasonable </w:t>
      </w:r>
      <w:r w:rsidR="00A6500C">
        <w:rPr>
          <w:lang w:eastAsia="en-US"/>
        </w:rPr>
        <w:t xml:space="preserve">compromises </w:t>
      </w:r>
      <w:r w:rsidR="00152097">
        <w:rPr>
          <w:lang w:eastAsia="en-US"/>
        </w:rPr>
        <w:t>for DSM, or any other matter the Company supported, through the</w:t>
      </w:r>
      <w:r w:rsidR="00A6500C">
        <w:rPr>
          <w:lang w:eastAsia="en-US"/>
        </w:rPr>
        <w:t xml:space="preserve"> constructive</w:t>
      </w:r>
      <w:r w:rsidR="00152097">
        <w:rPr>
          <w:lang w:eastAsia="en-US"/>
        </w:rPr>
        <w:t xml:space="preserve"> settlement process that has been the hallmark </w:t>
      </w:r>
      <w:r w:rsidR="00612A77">
        <w:rPr>
          <w:lang w:eastAsia="en-US"/>
        </w:rPr>
        <w:t xml:space="preserve">of </w:t>
      </w:r>
      <w:r w:rsidR="00152097">
        <w:rPr>
          <w:lang w:eastAsia="en-US"/>
        </w:rPr>
        <w:t>IRPs over the past several decades.</w:t>
      </w:r>
    </w:p>
    <w:p w14:paraId="2C91A753" w14:textId="5D915D68" w:rsidR="00F07ED4" w:rsidRDefault="00093564" w:rsidP="00381FAF">
      <w:pPr>
        <w:pStyle w:val="BodyText"/>
        <w:spacing w:after="0" w:line="480" w:lineRule="auto"/>
        <w:jc w:val="both"/>
        <w:rPr>
          <w:lang w:eastAsia="en-US"/>
        </w:rPr>
      </w:pPr>
      <w:r>
        <w:rPr>
          <w:lang w:eastAsia="en-US"/>
        </w:rPr>
        <w:t xml:space="preserve">It is undisputed that </w:t>
      </w:r>
      <w:r w:rsidR="003834B6">
        <w:rPr>
          <w:lang w:eastAsia="en-US"/>
        </w:rPr>
        <w:t xml:space="preserve">the Company formed and put forward a plan—i.e., proposed—a </w:t>
      </w:r>
      <w:r w:rsidR="00381FAF">
        <w:rPr>
          <w:lang w:eastAsia="en-US"/>
        </w:rPr>
        <w:t xml:space="preserve">DSM case that included a 0.75% DSM savings target. Additionally, throughout discovery, hearings, and briefing, the Company promoted a 0.75% DSM savings target, upheld </w:t>
      </w:r>
      <w:r w:rsidR="00A6500C">
        <w:rPr>
          <w:lang w:eastAsia="en-US"/>
        </w:rPr>
        <w:t>and</w:t>
      </w:r>
      <w:r w:rsidR="00381FAF">
        <w:rPr>
          <w:lang w:eastAsia="en-US"/>
        </w:rPr>
        <w:t xml:space="preserve"> defended the 0.75% savings target, and argued </w:t>
      </w:r>
      <w:r>
        <w:rPr>
          <w:lang w:eastAsia="en-US"/>
        </w:rPr>
        <w:t xml:space="preserve">for </w:t>
      </w:r>
      <w:r w:rsidR="00381FAF">
        <w:rPr>
          <w:lang w:eastAsia="en-US"/>
        </w:rPr>
        <w:t xml:space="preserve">adoption of the 0.75% DSM savings target—i.e., the Company </w:t>
      </w:r>
      <w:r w:rsidR="00381FAF">
        <w:rPr>
          <w:lang w:eastAsia="en-US"/>
        </w:rPr>
        <w:lastRenderedPageBreak/>
        <w:t xml:space="preserve">supported the DSM savings target. </w:t>
      </w:r>
    </w:p>
    <w:p w14:paraId="2DCCCFE4" w14:textId="1A13D858" w:rsidR="006F1BD7" w:rsidRDefault="00A6500C" w:rsidP="00381FAF">
      <w:pPr>
        <w:pStyle w:val="BodyText"/>
        <w:spacing w:after="0" w:line="480" w:lineRule="auto"/>
        <w:jc w:val="both"/>
        <w:rPr>
          <w:lang w:eastAsia="en-US"/>
        </w:rPr>
      </w:pPr>
      <w:r>
        <w:rPr>
          <w:lang w:eastAsia="en-US"/>
        </w:rPr>
        <w:t>Notably</w:t>
      </w:r>
      <w:r w:rsidR="00381FAF">
        <w:rPr>
          <w:lang w:eastAsia="en-US"/>
        </w:rPr>
        <w:t>, the Company proposes and supports all aspects of its case throughout the course of an IRP proceeding</w:t>
      </w:r>
      <w:r w:rsidR="00671294">
        <w:rPr>
          <w:lang w:eastAsia="en-US"/>
        </w:rPr>
        <w:t>.</w:t>
      </w:r>
      <w:r w:rsidR="00381FAF">
        <w:rPr>
          <w:lang w:eastAsia="en-US"/>
        </w:rPr>
        <w:t xml:space="preserve"> </w:t>
      </w:r>
      <w:r>
        <w:rPr>
          <w:lang w:eastAsia="en-US"/>
        </w:rPr>
        <w:t>However,</w:t>
      </w:r>
      <w:r w:rsidR="00381FAF">
        <w:rPr>
          <w:lang w:eastAsia="en-US"/>
        </w:rPr>
        <w:t xml:space="preserve"> not all of those aspects survive the give-and-take of </w:t>
      </w:r>
      <w:r w:rsidR="00671294">
        <w:rPr>
          <w:lang w:eastAsia="en-US"/>
        </w:rPr>
        <w:t xml:space="preserve">settlement </w:t>
      </w:r>
      <w:r w:rsidR="00381FAF">
        <w:rPr>
          <w:lang w:eastAsia="en-US"/>
        </w:rPr>
        <w:t>negotiation</w:t>
      </w:r>
      <w:r w:rsidR="00671294">
        <w:rPr>
          <w:lang w:eastAsia="en-US"/>
        </w:rPr>
        <w:t>s</w:t>
      </w:r>
      <w:r>
        <w:rPr>
          <w:lang w:eastAsia="en-US"/>
        </w:rPr>
        <w:t>. Yet</w:t>
      </w:r>
      <w:r w:rsidR="00381FAF">
        <w:rPr>
          <w:lang w:eastAsia="en-US"/>
        </w:rPr>
        <w:t xml:space="preserve"> GIPL/Southface would have this Commission believe that </w:t>
      </w:r>
      <w:r>
        <w:rPr>
          <w:lang w:eastAsia="en-US"/>
        </w:rPr>
        <w:t>any</w:t>
      </w:r>
      <w:r w:rsidR="007C727E">
        <w:rPr>
          <w:lang w:eastAsia="en-US"/>
        </w:rPr>
        <w:t xml:space="preserve"> aspects </w:t>
      </w:r>
      <w:r>
        <w:rPr>
          <w:lang w:eastAsia="en-US"/>
        </w:rPr>
        <w:t xml:space="preserve">of the Company’s case that are </w:t>
      </w:r>
      <w:r w:rsidR="007C727E">
        <w:rPr>
          <w:lang w:eastAsia="en-US"/>
        </w:rPr>
        <w:t xml:space="preserve">not adopted </w:t>
      </w:r>
      <w:r w:rsidR="00A84098">
        <w:rPr>
          <w:lang w:eastAsia="en-US"/>
        </w:rPr>
        <w:t>in</w:t>
      </w:r>
      <w:r w:rsidR="007C727E">
        <w:rPr>
          <w:lang w:eastAsia="en-US"/>
        </w:rPr>
        <w:t xml:space="preserve"> a stipulation were somehow abandoned by the Company. Take, for example, the Company’s proposed hydro modernization project</w:t>
      </w:r>
      <w:r w:rsidR="00D43443">
        <w:rPr>
          <w:lang w:eastAsia="en-US"/>
        </w:rPr>
        <w:t>s</w:t>
      </w:r>
      <w:r w:rsidR="006A03B7">
        <w:rPr>
          <w:lang w:eastAsia="en-US"/>
        </w:rPr>
        <w:t>,</w:t>
      </w:r>
      <w:r w:rsidR="0040460F">
        <w:rPr>
          <w:rStyle w:val="FootnoteReference"/>
          <w:lang w:eastAsia="en-US"/>
        </w:rPr>
        <w:footnoteReference w:id="13"/>
      </w:r>
      <w:r w:rsidR="006A03B7">
        <w:rPr>
          <w:lang w:eastAsia="en-US"/>
        </w:rPr>
        <w:t xml:space="preserve"> </w:t>
      </w:r>
      <w:r w:rsidR="00D43443">
        <w:rPr>
          <w:lang w:eastAsia="en-US"/>
        </w:rPr>
        <w:t xml:space="preserve">for </w:t>
      </w:r>
      <w:r w:rsidR="006A03B7">
        <w:rPr>
          <w:lang w:eastAsia="en-US"/>
        </w:rPr>
        <w:t>which the Company has fought since the 2019 IRP</w:t>
      </w:r>
      <w:r w:rsidR="007C727E">
        <w:rPr>
          <w:lang w:eastAsia="en-US"/>
        </w:rPr>
        <w:t>.</w:t>
      </w:r>
      <w:r w:rsidR="0040460F">
        <w:rPr>
          <w:rStyle w:val="FootnoteReference"/>
          <w:lang w:eastAsia="en-US"/>
        </w:rPr>
        <w:footnoteReference w:id="14"/>
      </w:r>
      <w:r w:rsidR="007C727E">
        <w:rPr>
          <w:lang w:eastAsia="en-US"/>
        </w:rPr>
        <w:t xml:space="preserve"> Th</w:t>
      </w:r>
      <w:r w:rsidR="00356443">
        <w:rPr>
          <w:lang w:eastAsia="en-US"/>
        </w:rPr>
        <w:t>e continuation of this</w:t>
      </w:r>
      <w:r w:rsidR="007C727E">
        <w:rPr>
          <w:lang w:eastAsia="en-US"/>
        </w:rPr>
        <w:t xml:space="preserve"> program, like the 0.75% DSM savings target, </w:t>
      </w:r>
      <w:r w:rsidR="009714BF">
        <w:rPr>
          <w:lang w:eastAsia="en-US"/>
        </w:rPr>
        <w:t xml:space="preserve">was proposed in the Company’s initial </w:t>
      </w:r>
      <w:r w:rsidR="006A03B7">
        <w:rPr>
          <w:lang w:eastAsia="en-US"/>
        </w:rPr>
        <w:t xml:space="preserve">2025 IRP </w:t>
      </w:r>
      <w:r w:rsidR="009714BF">
        <w:rPr>
          <w:lang w:eastAsia="en-US"/>
        </w:rPr>
        <w:t>filing and supported throughout the course of the 2025 IRP proceeding.</w:t>
      </w:r>
      <w:r w:rsidR="00A84098">
        <w:rPr>
          <w:rStyle w:val="FootnoteReference"/>
          <w:lang w:eastAsia="en-US"/>
        </w:rPr>
        <w:footnoteReference w:id="15"/>
      </w:r>
      <w:r w:rsidR="009714BF">
        <w:rPr>
          <w:lang w:eastAsia="en-US"/>
        </w:rPr>
        <w:t xml:space="preserve"> </w:t>
      </w:r>
      <w:r>
        <w:rPr>
          <w:lang w:eastAsia="en-US"/>
        </w:rPr>
        <w:t>The</w:t>
      </w:r>
      <w:r w:rsidR="009714BF">
        <w:rPr>
          <w:lang w:eastAsia="en-US"/>
        </w:rPr>
        <w:t xml:space="preserve"> Company </w:t>
      </w:r>
      <w:r>
        <w:rPr>
          <w:lang w:eastAsia="en-US"/>
        </w:rPr>
        <w:t xml:space="preserve">similarly </w:t>
      </w:r>
      <w:r w:rsidR="009714BF">
        <w:rPr>
          <w:lang w:eastAsia="en-US"/>
        </w:rPr>
        <w:t>proposed unit uprates at Plant Hatch</w:t>
      </w:r>
      <w:r w:rsidR="00356443">
        <w:rPr>
          <w:lang w:eastAsia="en-US"/>
        </w:rPr>
        <w:t xml:space="preserve"> </w:t>
      </w:r>
      <w:r w:rsidR="009714BF">
        <w:rPr>
          <w:lang w:eastAsia="en-US"/>
        </w:rPr>
        <w:t xml:space="preserve">and </w:t>
      </w:r>
      <w:r w:rsidR="00356443">
        <w:rPr>
          <w:lang w:eastAsia="en-US"/>
        </w:rPr>
        <w:t>supported th</w:t>
      </w:r>
      <w:r>
        <w:rPr>
          <w:lang w:eastAsia="en-US"/>
        </w:rPr>
        <w:t>at proposal</w:t>
      </w:r>
      <w:r w:rsidR="00356443">
        <w:rPr>
          <w:lang w:eastAsia="en-US"/>
        </w:rPr>
        <w:t xml:space="preserve"> </w:t>
      </w:r>
      <w:r w:rsidR="009714BF">
        <w:rPr>
          <w:lang w:eastAsia="en-US"/>
        </w:rPr>
        <w:t>throughout the course of the 2025 IRP proceeding.</w:t>
      </w:r>
      <w:r w:rsidR="00A84098">
        <w:rPr>
          <w:rStyle w:val="FootnoteReference"/>
          <w:lang w:eastAsia="en-US"/>
        </w:rPr>
        <w:footnoteReference w:id="16"/>
      </w:r>
      <w:r w:rsidR="009714BF">
        <w:rPr>
          <w:lang w:eastAsia="en-US"/>
        </w:rPr>
        <w:t xml:space="preserve"> Neither of these proposals were adopted </w:t>
      </w:r>
      <w:r w:rsidR="00CC4398">
        <w:rPr>
          <w:lang w:eastAsia="en-US"/>
        </w:rPr>
        <w:t xml:space="preserve">as </w:t>
      </w:r>
      <w:r>
        <w:rPr>
          <w:lang w:eastAsia="en-US"/>
        </w:rPr>
        <w:t xml:space="preserve">initially </w:t>
      </w:r>
      <w:r w:rsidR="00CC4398">
        <w:rPr>
          <w:lang w:eastAsia="en-US"/>
        </w:rPr>
        <w:t xml:space="preserve">filed and supported by the Company </w:t>
      </w:r>
      <w:r w:rsidR="009714BF">
        <w:rPr>
          <w:lang w:eastAsia="en-US"/>
        </w:rPr>
        <w:t>in the 2025 IRP Stipulatio</w:t>
      </w:r>
      <w:r w:rsidR="00671294">
        <w:rPr>
          <w:lang w:eastAsia="en-US"/>
        </w:rPr>
        <w:t>n, and yet</w:t>
      </w:r>
      <w:r w:rsidR="009714BF">
        <w:rPr>
          <w:lang w:eastAsia="en-US"/>
        </w:rPr>
        <w:t>, no party</w:t>
      </w:r>
      <w:r w:rsidR="006A03B7">
        <w:rPr>
          <w:lang w:eastAsia="en-US"/>
        </w:rPr>
        <w:t xml:space="preserve"> that participated in the 2025 IRP</w:t>
      </w:r>
      <w:r w:rsidR="009714BF">
        <w:rPr>
          <w:lang w:eastAsia="en-US"/>
        </w:rPr>
        <w:t xml:space="preserve"> </w:t>
      </w:r>
      <w:r w:rsidR="00D43443">
        <w:rPr>
          <w:lang w:eastAsia="en-US"/>
        </w:rPr>
        <w:t xml:space="preserve">could </w:t>
      </w:r>
      <w:r w:rsidR="009714BF">
        <w:rPr>
          <w:lang w:eastAsia="en-US"/>
        </w:rPr>
        <w:t xml:space="preserve">make a reasonable argument that the Company </w:t>
      </w:r>
      <w:r w:rsidR="00671294">
        <w:rPr>
          <w:lang w:eastAsia="en-US"/>
        </w:rPr>
        <w:t xml:space="preserve">abandoned or </w:t>
      </w:r>
      <w:r w:rsidR="009714BF">
        <w:rPr>
          <w:lang w:eastAsia="en-US"/>
        </w:rPr>
        <w:t xml:space="preserve">failed to propose or support those aspects of the Company’s case. </w:t>
      </w:r>
    </w:p>
    <w:p w14:paraId="47257B9A" w14:textId="61D91B20" w:rsidR="00AF495F" w:rsidRDefault="00D43443" w:rsidP="000759F1">
      <w:pPr>
        <w:pStyle w:val="BodyText"/>
        <w:spacing w:after="0" w:line="480" w:lineRule="auto"/>
        <w:jc w:val="both"/>
        <w:rPr>
          <w:lang w:eastAsia="en-US"/>
        </w:rPr>
      </w:pPr>
      <w:r>
        <w:rPr>
          <w:lang w:eastAsia="en-US"/>
        </w:rPr>
        <w:t>W</w:t>
      </w:r>
      <w:r w:rsidR="009714BF">
        <w:rPr>
          <w:lang w:eastAsia="en-US"/>
        </w:rPr>
        <w:t xml:space="preserve">hat GIPL/Southface seek in </w:t>
      </w:r>
      <w:r>
        <w:rPr>
          <w:lang w:eastAsia="en-US"/>
        </w:rPr>
        <w:t xml:space="preserve">their </w:t>
      </w:r>
      <w:r w:rsidR="009714BF">
        <w:rPr>
          <w:lang w:eastAsia="en-US"/>
        </w:rPr>
        <w:t>motion</w:t>
      </w:r>
      <w:r>
        <w:rPr>
          <w:lang w:eastAsia="en-US"/>
        </w:rPr>
        <w:t xml:space="preserve"> and claim </w:t>
      </w:r>
      <w:r w:rsidR="003652C0">
        <w:rPr>
          <w:lang w:eastAsia="en-US"/>
        </w:rPr>
        <w:t xml:space="preserve">to have been </w:t>
      </w:r>
      <w:r>
        <w:rPr>
          <w:lang w:eastAsia="en-US"/>
        </w:rPr>
        <w:t>their “expectation” when agreeing to the Vogtle Prudence Stipulation</w:t>
      </w:r>
      <w:r w:rsidR="006F1BD7">
        <w:rPr>
          <w:lang w:eastAsia="en-US"/>
        </w:rPr>
        <w:t xml:space="preserve">—an unyielding </w:t>
      </w:r>
      <w:r w:rsidR="0042324E">
        <w:rPr>
          <w:lang w:eastAsia="en-US"/>
        </w:rPr>
        <w:t xml:space="preserve">position </w:t>
      </w:r>
      <w:r w:rsidR="006F1BD7">
        <w:rPr>
          <w:lang w:eastAsia="en-US"/>
        </w:rPr>
        <w:t xml:space="preserve">and </w:t>
      </w:r>
      <w:r>
        <w:rPr>
          <w:lang w:eastAsia="en-US"/>
        </w:rPr>
        <w:t>refusal to compromise on the issue</w:t>
      </w:r>
      <w:r w:rsidR="006F1BD7">
        <w:rPr>
          <w:lang w:eastAsia="en-US"/>
        </w:rPr>
        <w:t>—</w:t>
      </w:r>
      <w:r w:rsidR="009714BF">
        <w:rPr>
          <w:lang w:eastAsia="en-US"/>
        </w:rPr>
        <w:t xml:space="preserve">is patently </w:t>
      </w:r>
      <w:r w:rsidR="009714BF">
        <w:rPr>
          <w:i/>
          <w:iCs/>
          <w:lang w:eastAsia="en-US"/>
        </w:rPr>
        <w:t>un</w:t>
      </w:r>
      <w:r w:rsidR="009714BF">
        <w:rPr>
          <w:lang w:eastAsia="en-US"/>
        </w:rPr>
        <w:t>reasonable</w:t>
      </w:r>
      <w:r w:rsidR="0042324E">
        <w:rPr>
          <w:lang w:eastAsia="en-US"/>
        </w:rPr>
        <w:t xml:space="preserve"> and runs contrary to the nature of constructive settlement, which requires that parties compromise</w:t>
      </w:r>
      <w:r w:rsidR="006F1BD7">
        <w:rPr>
          <w:lang w:eastAsia="en-US"/>
        </w:rPr>
        <w:t xml:space="preserve"> in the interest</w:t>
      </w:r>
      <w:r w:rsidR="0042324E">
        <w:rPr>
          <w:lang w:eastAsia="en-US"/>
        </w:rPr>
        <w:t>s</w:t>
      </w:r>
      <w:r w:rsidR="006F1BD7">
        <w:rPr>
          <w:lang w:eastAsia="en-US"/>
        </w:rPr>
        <w:t xml:space="preserve"> of reaching a</w:t>
      </w:r>
      <w:r w:rsidR="0042324E">
        <w:rPr>
          <w:lang w:eastAsia="en-US"/>
        </w:rPr>
        <w:t xml:space="preserve"> mutually acceptable</w:t>
      </w:r>
      <w:r w:rsidR="00566F5C">
        <w:rPr>
          <w:lang w:eastAsia="en-US"/>
        </w:rPr>
        <w:t xml:space="preserve"> outcome</w:t>
      </w:r>
      <w:r w:rsidR="0042324E">
        <w:rPr>
          <w:lang w:eastAsia="en-US"/>
        </w:rPr>
        <w:t>.</w:t>
      </w:r>
      <w:r w:rsidR="006F1BD7">
        <w:rPr>
          <w:lang w:eastAsia="en-US"/>
        </w:rPr>
        <w:t xml:space="preserve"> </w:t>
      </w:r>
      <w:r w:rsidR="001D1A3F">
        <w:rPr>
          <w:lang w:eastAsia="en-US"/>
        </w:rPr>
        <w:t xml:space="preserve">Taking </w:t>
      </w:r>
      <w:r w:rsidR="006F1BD7">
        <w:rPr>
          <w:lang w:eastAsia="en-US"/>
        </w:rPr>
        <w:t>GIPL</w:t>
      </w:r>
      <w:r w:rsidR="003652C0">
        <w:rPr>
          <w:lang w:eastAsia="en-US"/>
        </w:rPr>
        <w:t>/Southface’s suggestion</w:t>
      </w:r>
      <w:r w:rsidR="006F1BD7">
        <w:rPr>
          <w:lang w:eastAsia="en-US"/>
        </w:rPr>
        <w:t xml:space="preserve"> to its logical conclusion, the Company could never support any stipulation </w:t>
      </w:r>
      <w:r w:rsidR="0042324E">
        <w:rPr>
          <w:lang w:eastAsia="en-US"/>
        </w:rPr>
        <w:t>or agree to</w:t>
      </w:r>
      <w:r w:rsidR="006F1BD7">
        <w:rPr>
          <w:lang w:eastAsia="en-US"/>
        </w:rPr>
        <w:t xml:space="preserve"> anything less than what the Company initially </w:t>
      </w:r>
      <w:r w:rsidR="001D1A3F">
        <w:rPr>
          <w:lang w:eastAsia="en-US"/>
        </w:rPr>
        <w:t>proposed</w:t>
      </w:r>
      <w:r w:rsidR="006F1BD7">
        <w:rPr>
          <w:lang w:eastAsia="en-US"/>
        </w:rPr>
        <w:t xml:space="preserve">. </w:t>
      </w:r>
      <w:r w:rsidR="001D1A3F">
        <w:rPr>
          <w:lang w:eastAsia="en-US"/>
        </w:rPr>
        <w:t>That outcome makes no sense</w:t>
      </w:r>
      <w:r w:rsidR="00612A77">
        <w:rPr>
          <w:lang w:eastAsia="en-US"/>
        </w:rPr>
        <w:t>,</w:t>
      </w:r>
      <w:r w:rsidR="001D1A3F">
        <w:rPr>
          <w:lang w:eastAsia="en-US"/>
        </w:rPr>
        <w:t xml:space="preserve"> runs contrary to the constructive regulatory environment </w:t>
      </w:r>
      <w:r w:rsidR="001D1A3F">
        <w:rPr>
          <w:lang w:eastAsia="en-US"/>
        </w:rPr>
        <w:lastRenderedPageBreak/>
        <w:t>in Georgia</w:t>
      </w:r>
      <w:r w:rsidR="00612A77">
        <w:rPr>
          <w:lang w:eastAsia="en-US"/>
        </w:rPr>
        <w:t>, and</w:t>
      </w:r>
      <w:r w:rsidR="00612A77" w:rsidRPr="00612A77">
        <w:rPr>
          <w:lang w:eastAsia="en-US"/>
        </w:rPr>
        <w:t xml:space="preserve"> </w:t>
      </w:r>
      <w:r w:rsidR="0042324E">
        <w:rPr>
          <w:lang w:eastAsia="en-US"/>
        </w:rPr>
        <w:t xml:space="preserve">ignores the benefits of the constructive settlements </w:t>
      </w:r>
      <w:r w:rsidR="00612A77">
        <w:rPr>
          <w:lang w:eastAsia="en-US"/>
        </w:rPr>
        <w:t>the Commission has routinely adopted in IRP cases</w:t>
      </w:r>
      <w:r w:rsidR="0042324E">
        <w:rPr>
          <w:lang w:eastAsia="en-US"/>
        </w:rPr>
        <w:t>, which have provided</w:t>
      </w:r>
      <w:r w:rsidR="00AF495F">
        <w:rPr>
          <w:lang w:eastAsia="en-US"/>
        </w:rPr>
        <w:t xml:space="preserve"> certainty, compromise, and </w:t>
      </w:r>
      <w:r w:rsidR="000759F1">
        <w:rPr>
          <w:lang w:eastAsia="en-US"/>
        </w:rPr>
        <w:t xml:space="preserve">fairness </w:t>
      </w:r>
      <w:r w:rsidR="00356443">
        <w:rPr>
          <w:lang w:eastAsia="en-US"/>
        </w:rPr>
        <w:t>to all parties</w:t>
      </w:r>
      <w:r w:rsidR="000759F1">
        <w:rPr>
          <w:lang w:eastAsia="en-US"/>
        </w:rPr>
        <w:t xml:space="preserve">. </w:t>
      </w:r>
      <w:r w:rsidR="001D1A3F">
        <w:rPr>
          <w:lang w:eastAsia="en-US"/>
        </w:rPr>
        <w:t xml:space="preserve">Georgia Power would </w:t>
      </w:r>
      <w:r w:rsidR="0042324E">
        <w:rPr>
          <w:lang w:eastAsia="en-US"/>
        </w:rPr>
        <w:t xml:space="preserve">not </w:t>
      </w:r>
      <w:r w:rsidR="001D1A3F">
        <w:rPr>
          <w:lang w:eastAsia="en-US"/>
        </w:rPr>
        <w:t xml:space="preserve">have </w:t>
      </w:r>
      <w:r w:rsidR="0042324E">
        <w:rPr>
          <w:lang w:eastAsia="en-US"/>
        </w:rPr>
        <w:t>agreed to</w:t>
      </w:r>
      <w:r w:rsidR="009660A5">
        <w:rPr>
          <w:lang w:eastAsia="en-US"/>
        </w:rPr>
        <w:t xml:space="preserve"> the Vogtle Prudence </w:t>
      </w:r>
      <w:r w:rsidR="0042324E">
        <w:rPr>
          <w:lang w:eastAsia="en-US"/>
        </w:rPr>
        <w:t>Stipulation had it</w:t>
      </w:r>
      <w:r w:rsidR="001D1A3F">
        <w:rPr>
          <w:lang w:eastAsia="en-US"/>
        </w:rPr>
        <w:t xml:space="preserve"> prohibited </w:t>
      </w:r>
      <w:r w:rsidR="0042324E">
        <w:rPr>
          <w:lang w:eastAsia="en-US"/>
        </w:rPr>
        <w:t xml:space="preserve">Georgia Power </w:t>
      </w:r>
      <w:r w:rsidR="001D1A3F">
        <w:rPr>
          <w:lang w:eastAsia="en-US"/>
        </w:rPr>
        <w:t>from entering a stipulation in this proceeding.</w:t>
      </w:r>
      <w:r w:rsidR="003652C0">
        <w:rPr>
          <w:lang w:eastAsia="en-US"/>
        </w:rPr>
        <w:t xml:space="preserve"> </w:t>
      </w:r>
      <w:r w:rsidR="000759F1">
        <w:rPr>
          <w:lang w:eastAsia="en-US"/>
        </w:rPr>
        <w:t xml:space="preserve">Accordingly, the Commission should reject GIPL/Southface’s </w:t>
      </w:r>
      <w:r w:rsidR="0042324E">
        <w:rPr>
          <w:lang w:eastAsia="en-US"/>
        </w:rPr>
        <w:t xml:space="preserve">unreasonable </w:t>
      </w:r>
      <w:r w:rsidR="000759F1">
        <w:rPr>
          <w:lang w:eastAsia="en-US"/>
        </w:rPr>
        <w:t>position.</w:t>
      </w:r>
    </w:p>
    <w:p w14:paraId="79FF941F" w14:textId="6854F487" w:rsidR="000759F1" w:rsidRDefault="000759F1" w:rsidP="00612A77">
      <w:pPr>
        <w:pStyle w:val="BodyText"/>
        <w:widowControl/>
        <w:numPr>
          <w:ilvl w:val="0"/>
          <w:numId w:val="22"/>
        </w:numPr>
        <w:ind w:left="360"/>
        <w:jc w:val="both"/>
        <w:rPr>
          <w:b/>
          <w:bCs/>
          <w:lang w:eastAsia="en-US"/>
        </w:rPr>
      </w:pPr>
      <w:r>
        <w:rPr>
          <w:b/>
          <w:bCs/>
          <w:lang w:eastAsia="en-US"/>
        </w:rPr>
        <w:t xml:space="preserve">The 0.75% DSM savings target from the Vogtle Prudence Stipulation has already </w:t>
      </w:r>
      <w:r w:rsidR="001E3F4A">
        <w:rPr>
          <w:b/>
          <w:bCs/>
          <w:lang w:eastAsia="en-US"/>
        </w:rPr>
        <w:t>benefitted all customers</w:t>
      </w:r>
      <w:r>
        <w:rPr>
          <w:b/>
          <w:bCs/>
          <w:lang w:eastAsia="en-US"/>
        </w:rPr>
        <w:t>.</w:t>
      </w:r>
    </w:p>
    <w:p w14:paraId="42A592FE" w14:textId="50951C9E" w:rsidR="00037D62" w:rsidRDefault="000759F1" w:rsidP="00612A77">
      <w:pPr>
        <w:pStyle w:val="BodyText"/>
        <w:widowControl/>
        <w:spacing w:after="0" w:line="480" w:lineRule="auto"/>
        <w:jc w:val="both"/>
        <w:rPr>
          <w:lang w:eastAsia="en-US"/>
        </w:rPr>
      </w:pPr>
      <w:r>
        <w:rPr>
          <w:lang w:eastAsia="en-US"/>
        </w:rPr>
        <w:t xml:space="preserve">Parties to the Vogtle Prudence Stipulation negotiated and agreed to, among many other items, </w:t>
      </w:r>
      <w:r w:rsidR="00671294">
        <w:rPr>
          <w:lang w:eastAsia="en-US"/>
        </w:rPr>
        <w:t>the</w:t>
      </w:r>
      <w:r>
        <w:rPr>
          <w:lang w:eastAsia="en-US"/>
        </w:rPr>
        <w:t xml:space="preserve"> 0.75% DSM savings target.</w:t>
      </w:r>
      <w:r w:rsidR="008078F4">
        <w:rPr>
          <w:lang w:eastAsia="en-US"/>
        </w:rPr>
        <w:t xml:space="preserve"> </w:t>
      </w:r>
      <w:r w:rsidR="00037D62">
        <w:rPr>
          <w:lang w:eastAsia="en-US"/>
        </w:rPr>
        <w:t>B</w:t>
      </w:r>
      <w:r w:rsidR="008078F4">
        <w:rPr>
          <w:lang w:eastAsia="en-US"/>
        </w:rPr>
        <w:t>ecause of that settled position in the Vogtle prudence proceeding</w:t>
      </w:r>
      <w:r w:rsidR="00930F5C">
        <w:rPr>
          <w:lang w:eastAsia="en-US"/>
        </w:rPr>
        <w:t xml:space="preserve">, </w:t>
      </w:r>
      <w:r w:rsidR="008078F4">
        <w:rPr>
          <w:lang w:eastAsia="en-US"/>
        </w:rPr>
        <w:t xml:space="preserve">the Company filed its 2025 IRP with a Proposed Case </w:t>
      </w:r>
      <w:r w:rsidR="00930F5C">
        <w:rPr>
          <w:lang w:eastAsia="en-US"/>
        </w:rPr>
        <w:t xml:space="preserve">that included </w:t>
      </w:r>
      <w:r w:rsidR="008078F4">
        <w:rPr>
          <w:lang w:eastAsia="en-US"/>
        </w:rPr>
        <w:t>a significant</w:t>
      </w:r>
      <w:r w:rsidR="00930F5C">
        <w:rPr>
          <w:lang w:eastAsia="en-US"/>
        </w:rPr>
        <w:t>ly increased</w:t>
      </w:r>
      <w:r w:rsidR="008078F4">
        <w:rPr>
          <w:lang w:eastAsia="en-US"/>
        </w:rPr>
        <w:t xml:space="preserve"> DSM savings target</w:t>
      </w:r>
      <w:r w:rsidR="00930F5C">
        <w:rPr>
          <w:lang w:eastAsia="en-US"/>
        </w:rPr>
        <w:t xml:space="preserve"> compared to prior IRPs</w:t>
      </w:r>
      <w:r w:rsidR="00356443">
        <w:rPr>
          <w:lang w:eastAsia="en-US"/>
        </w:rPr>
        <w:t xml:space="preserve">, </w:t>
      </w:r>
      <w:r w:rsidR="00930F5C">
        <w:rPr>
          <w:lang w:eastAsia="en-US"/>
        </w:rPr>
        <w:t xml:space="preserve">and </w:t>
      </w:r>
      <w:r w:rsidR="00356443">
        <w:rPr>
          <w:lang w:eastAsia="en-US"/>
        </w:rPr>
        <w:t xml:space="preserve">which contained hundreds of millions of dollars of </w:t>
      </w:r>
      <w:r w:rsidR="008078F4">
        <w:rPr>
          <w:lang w:eastAsia="en-US"/>
        </w:rPr>
        <w:t>upward pressure on rates.</w:t>
      </w:r>
      <w:r w:rsidR="00356443">
        <w:rPr>
          <w:rStyle w:val="FootnoteReference"/>
          <w:lang w:eastAsia="en-US"/>
        </w:rPr>
        <w:footnoteReference w:id="17"/>
      </w:r>
      <w:r w:rsidR="008078F4">
        <w:rPr>
          <w:lang w:eastAsia="en-US"/>
        </w:rPr>
        <w:t xml:space="preserve"> Consistent with the Vogtle Prudence Stipulation, the Company proposed this case and supported it</w:t>
      </w:r>
      <w:r w:rsidR="00037D62">
        <w:rPr>
          <w:lang w:eastAsia="en-US"/>
        </w:rPr>
        <w:t xml:space="preserve"> throughout </w:t>
      </w:r>
      <w:r w:rsidR="00B756E4">
        <w:rPr>
          <w:lang w:eastAsia="en-US"/>
        </w:rPr>
        <w:t>the 2025 IRP proceeding</w:t>
      </w:r>
      <w:r w:rsidR="00037D62">
        <w:rPr>
          <w:lang w:eastAsia="en-US"/>
        </w:rPr>
        <w:t xml:space="preserve">. </w:t>
      </w:r>
      <w:r w:rsidR="00930F5C">
        <w:rPr>
          <w:lang w:eastAsia="en-US"/>
        </w:rPr>
        <w:t xml:space="preserve">Absent the inclusion of the 0.75% </w:t>
      </w:r>
      <w:r w:rsidR="00037D62">
        <w:rPr>
          <w:lang w:eastAsia="en-US"/>
        </w:rPr>
        <w:t xml:space="preserve">savings target in the Vogtle Prudence Proceeding, the Company </w:t>
      </w:r>
      <w:r w:rsidR="00930F5C">
        <w:rPr>
          <w:lang w:eastAsia="en-US"/>
        </w:rPr>
        <w:t xml:space="preserve">likely would </w:t>
      </w:r>
      <w:r w:rsidR="00037D62">
        <w:rPr>
          <w:lang w:eastAsia="en-US"/>
        </w:rPr>
        <w:t xml:space="preserve">have </w:t>
      </w:r>
      <w:r w:rsidR="00930F5C">
        <w:rPr>
          <w:lang w:eastAsia="en-US"/>
        </w:rPr>
        <w:t>filed</w:t>
      </w:r>
      <w:r w:rsidR="00037D62">
        <w:rPr>
          <w:lang w:eastAsia="en-US"/>
        </w:rPr>
        <w:t xml:space="preserve"> the 2025 IRP with a significant</w:t>
      </w:r>
      <w:r w:rsidR="00930F5C">
        <w:rPr>
          <w:lang w:eastAsia="en-US"/>
        </w:rPr>
        <w:t>ly lower</w:t>
      </w:r>
      <w:r w:rsidR="00311EA1">
        <w:rPr>
          <w:lang w:eastAsia="en-US"/>
        </w:rPr>
        <w:t xml:space="preserve"> DSM savings </w:t>
      </w:r>
      <w:r w:rsidR="00037D62">
        <w:rPr>
          <w:lang w:eastAsia="en-US"/>
        </w:rPr>
        <w:t>target</w:t>
      </w:r>
      <w:r w:rsidR="00356443">
        <w:rPr>
          <w:lang w:eastAsia="en-US"/>
        </w:rPr>
        <w:t xml:space="preserve"> </w:t>
      </w:r>
      <w:r w:rsidR="00311EA1">
        <w:rPr>
          <w:lang w:eastAsia="en-US"/>
        </w:rPr>
        <w:t>that put</w:t>
      </w:r>
      <w:r w:rsidR="00356443">
        <w:rPr>
          <w:lang w:eastAsia="en-US"/>
        </w:rPr>
        <w:t xml:space="preserve"> less upward pressure on rates</w:t>
      </w:r>
      <w:r w:rsidR="00037D62">
        <w:rPr>
          <w:lang w:eastAsia="en-US"/>
        </w:rPr>
        <w:t xml:space="preserve">. In other words, </w:t>
      </w:r>
      <w:r w:rsidR="00311EA1">
        <w:rPr>
          <w:lang w:eastAsia="en-US"/>
        </w:rPr>
        <w:t>parties</w:t>
      </w:r>
      <w:r w:rsidR="00037D62">
        <w:rPr>
          <w:lang w:eastAsia="en-US"/>
        </w:rPr>
        <w:t xml:space="preserve"> </w:t>
      </w:r>
      <w:r w:rsidR="00685249">
        <w:rPr>
          <w:lang w:eastAsia="en-US"/>
        </w:rPr>
        <w:t xml:space="preserve">advocating for higher DSM savings targets </w:t>
      </w:r>
      <w:r w:rsidR="00037D62">
        <w:rPr>
          <w:lang w:eastAsia="en-US"/>
        </w:rPr>
        <w:t xml:space="preserve">received substantial benefit from the Vogtle Prudence Proceeding </w:t>
      </w:r>
      <w:r w:rsidR="00685249">
        <w:rPr>
          <w:lang w:eastAsia="en-US"/>
        </w:rPr>
        <w:t xml:space="preserve">because </w:t>
      </w:r>
      <w:r w:rsidR="00037D62">
        <w:rPr>
          <w:lang w:eastAsia="en-US"/>
        </w:rPr>
        <w:t xml:space="preserve">the Company </w:t>
      </w:r>
      <w:r w:rsidR="00685249">
        <w:rPr>
          <w:lang w:eastAsia="en-US"/>
        </w:rPr>
        <w:t xml:space="preserve">proposed the </w:t>
      </w:r>
      <w:r w:rsidR="00037D62">
        <w:rPr>
          <w:lang w:eastAsia="en-US"/>
        </w:rPr>
        <w:t>significant 0.75% DSM savings target</w:t>
      </w:r>
      <w:r w:rsidR="004A5D9D">
        <w:rPr>
          <w:lang w:eastAsia="en-US"/>
        </w:rPr>
        <w:t>, which had the beneficial effect of raising the scale of the DSM plan that was to be evaluated by other Parties in the proceeding.</w:t>
      </w:r>
      <w:r w:rsidR="00037D62">
        <w:rPr>
          <w:lang w:eastAsia="en-US"/>
        </w:rPr>
        <w:t xml:space="preserve"> </w:t>
      </w:r>
    </w:p>
    <w:p w14:paraId="20B47B1E" w14:textId="7F3D0D95" w:rsidR="001E3F4A" w:rsidRDefault="00037D62" w:rsidP="009660A5">
      <w:pPr>
        <w:pStyle w:val="BodyText"/>
        <w:spacing w:after="0" w:line="480" w:lineRule="auto"/>
        <w:jc w:val="both"/>
        <w:rPr>
          <w:lang w:eastAsia="en-US"/>
        </w:rPr>
      </w:pPr>
      <w:r>
        <w:rPr>
          <w:lang w:eastAsia="en-US"/>
        </w:rPr>
        <w:t xml:space="preserve">The nature of settlement agreements </w:t>
      </w:r>
      <w:r w:rsidR="004A5D9D">
        <w:rPr>
          <w:lang w:eastAsia="en-US"/>
        </w:rPr>
        <w:t xml:space="preserve">in IRPs has resulted in compromise positions on the </w:t>
      </w:r>
      <w:r w:rsidR="004A5D9D">
        <w:rPr>
          <w:lang w:eastAsia="en-US"/>
        </w:rPr>
        <w:lastRenderedPageBreak/>
        <w:t>DSM plan</w:t>
      </w:r>
      <w:r w:rsidR="00612A77">
        <w:rPr>
          <w:lang w:eastAsia="en-US"/>
        </w:rPr>
        <w:t>,</w:t>
      </w:r>
      <w:r w:rsidR="004A5D9D">
        <w:rPr>
          <w:lang w:eastAsia="en-US"/>
        </w:rPr>
        <w:t xml:space="preserve"> with PIA Staff </w:t>
      </w:r>
      <w:r w:rsidR="00EF3BB1">
        <w:rPr>
          <w:lang w:eastAsia="en-US"/>
        </w:rPr>
        <w:t>often</w:t>
      </w:r>
      <w:r w:rsidR="004A5D9D">
        <w:rPr>
          <w:lang w:eastAsia="en-US"/>
        </w:rPr>
        <w:t xml:space="preserve"> </w:t>
      </w:r>
      <w:r w:rsidR="00612A77">
        <w:rPr>
          <w:lang w:eastAsia="en-US"/>
        </w:rPr>
        <w:t xml:space="preserve">serving as </w:t>
      </w:r>
      <w:r w:rsidR="004A5D9D">
        <w:rPr>
          <w:lang w:eastAsia="en-US"/>
        </w:rPr>
        <w:t xml:space="preserve">a primary </w:t>
      </w:r>
      <w:r w:rsidR="00612A77">
        <w:rPr>
          <w:lang w:eastAsia="en-US"/>
        </w:rPr>
        <w:t>p</w:t>
      </w:r>
      <w:r w:rsidR="004A5D9D">
        <w:rPr>
          <w:lang w:eastAsia="en-US"/>
        </w:rPr>
        <w:t xml:space="preserve">arty in proposing revisions and alterations to the Company’s Plans. The same process of compromise took place in this case. </w:t>
      </w:r>
      <w:r w:rsidR="00311EA1">
        <w:rPr>
          <w:lang w:eastAsia="en-US"/>
        </w:rPr>
        <w:t>Ultimately, t</w:t>
      </w:r>
      <w:r w:rsidR="007F0AB5">
        <w:rPr>
          <w:lang w:eastAsia="en-US"/>
        </w:rPr>
        <w:t>he final</w:t>
      </w:r>
      <w:r w:rsidR="00566F5C">
        <w:rPr>
          <w:lang w:eastAsia="en-US"/>
        </w:rPr>
        <w:t xml:space="preserve">, negotiated </w:t>
      </w:r>
      <w:r w:rsidR="007F0AB5">
        <w:rPr>
          <w:lang w:eastAsia="en-US"/>
        </w:rPr>
        <w:t xml:space="preserve">DSM savings target of 0.51%, while different from the 0.75% that GIPL/Southface strenuously demand, still </w:t>
      </w:r>
      <w:r w:rsidR="00C619EA">
        <w:rPr>
          <w:lang w:eastAsia="en-US"/>
        </w:rPr>
        <w:t xml:space="preserve">results in one of </w:t>
      </w:r>
      <w:r w:rsidR="00B06133">
        <w:rPr>
          <w:lang w:eastAsia="en-US"/>
        </w:rPr>
        <w:t>the</w:t>
      </w:r>
      <w:r w:rsidR="00C619EA">
        <w:rPr>
          <w:lang w:eastAsia="en-US"/>
        </w:rPr>
        <w:t xml:space="preserve"> highest </w:t>
      </w:r>
      <w:r w:rsidR="00EF3BB1">
        <w:rPr>
          <w:lang w:eastAsia="en-US"/>
        </w:rPr>
        <w:t xml:space="preserve">DSM </w:t>
      </w:r>
      <w:r w:rsidR="00C700EB">
        <w:rPr>
          <w:lang w:eastAsia="en-US"/>
        </w:rPr>
        <w:t>savings targets</w:t>
      </w:r>
      <w:r w:rsidR="00C619EA">
        <w:rPr>
          <w:lang w:eastAsia="en-US"/>
        </w:rPr>
        <w:t xml:space="preserve"> </w:t>
      </w:r>
      <w:r w:rsidR="00C700EB">
        <w:rPr>
          <w:lang w:eastAsia="en-US"/>
        </w:rPr>
        <w:t>to</w:t>
      </w:r>
      <w:r w:rsidR="00C619EA">
        <w:rPr>
          <w:lang w:eastAsia="en-US"/>
        </w:rPr>
        <w:t xml:space="preserve"> be approved in recent </w:t>
      </w:r>
      <w:r w:rsidR="00476670">
        <w:rPr>
          <w:lang w:eastAsia="en-US"/>
        </w:rPr>
        <w:t>history, and certainly better</w:t>
      </w:r>
      <w:r w:rsidR="007F0AB5">
        <w:rPr>
          <w:lang w:eastAsia="en-US"/>
        </w:rPr>
        <w:t xml:space="preserve"> than what may have occurred if the Vogtle Prudence Stipulation had not been approved by this Commission.</w:t>
      </w:r>
      <w:r w:rsidR="00476670">
        <w:rPr>
          <w:lang w:eastAsia="en-US"/>
        </w:rPr>
        <w:t xml:space="preserve"> To illustrate, the previous </w:t>
      </w:r>
      <w:r w:rsidR="00D505A6">
        <w:rPr>
          <w:lang w:eastAsia="en-US"/>
        </w:rPr>
        <w:t>2022 IRP involved a Company-proposed DSM portfolio with energy savings of approximately 433,000 MWh, and a Staff-proposed DSM portfolio with energy savings of approximately 430,000 MWh.</w:t>
      </w:r>
      <w:r w:rsidR="00D505A6">
        <w:rPr>
          <w:rStyle w:val="FootnoteReference"/>
          <w:lang w:eastAsia="en-US"/>
        </w:rPr>
        <w:footnoteReference w:id="18"/>
      </w:r>
      <w:r w:rsidR="00D505A6">
        <w:rPr>
          <w:lang w:eastAsia="en-US"/>
        </w:rPr>
        <w:t xml:space="preserve"> Likewise in the 2019 IRP, both Company and Staff proposed portfolios </w:t>
      </w:r>
      <w:r w:rsidR="009C1325">
        <w:rPr>
          <w:lang w:eastAsia="en-US"/>
        </w:rPr>
        <w:t xml:space="preserve">that </w:t>
      </w:r>
      <w:r w:rsidR="002C4529">
        <w:rPr>
          <w:lang w:eastAsia="en-US"/>
        </w:rPr>
        <w:t xml:space="preserve">would have </w:t>
      </w:r>
      <w:r w:rsidR="00D505A6">
        <w:rPr>
          <w:lang w:eastAsia="en-US"/>
        </w:rPr>
        <w:t>resulted in about 375,000 MWh of energy savings.</w:t>
      </w:r>
      <w:r w:rsidR="00D505A6">
        <w:rPr>
          <w:rStyle w:val="FootnoteReference"/>
          <w:lang w:eastAsia="en-US"/>
        </w:rPr>
        <w:footnoteReference w:id="19"/>
      </w:r>
      <w:r w:rsidR="00744FA2">
        <w:rPr>
          <w:lang w:eastAsia="en-US"/>
        </w:rPr>
        <w:t xml:space="preserve"> Both cases </w:t>
      </w:r>
      <w:r w:rsidR="009660A5">
        <w:rPr>
          <w:lang w:eastAsia="en-US"/>
        </w:rPr>
        <w:t>were resolved with</w:t>
      </w:r>
      <w:r w:rsidR="00744FA2">
        <w:rPr>
          <w:lang w:eastAsia="en-US"/>
        </w:rPr>
        <w:t xml:space="preserve"> settlement positions that </w:t>
      </w:r>
      <w:r w:rsidR="009660A5">
        <w:rPr>
          <w:lang w:eastAsia="en-US"/>
        </w:rPr>
        <w:t>were a</w:t>
      </w:r>
      <w:r w:rsidR="00744FA2">
        <w:rPr>
          <w:lang w:eastAsia="en-US"/>
        </w:rPr>
        <w:t xml:space="preserve"> compromise between the Company and Staff positions, resulting in an amount of energy savings somewhere in between the litigated positions.</w:t>
      </w:r>
    </w:p>
    <w:p w14:paraId="3F99A92A" w14:textId="72D9C1E7" w:rsidR="000759F1" w:rsidRDefault="00744FA2" w:rsidP="007F0AB5">
      <w:pPr>
        <w:pStyle w:val="BodyText"/>
        <w:spacing w:after="0" w:line="480" w:lineRule="auto"/>
        <w:jc w:val="both"/>
        <w:rPr>
          <w:lang w:eastAsia="en-US"/>
        </w:rPr>
      </w:pPr>
      <w:r>
        <w:rPr>
          <w:lang w:eastAsia="en-US"/>
        </w:rPr>
        <w:t xml:space="preserve">In contrast here, </w:t>
      </w:r>
      <w:r w:rsidR="009C21A5">
        <w:rPr>
          <w:lang w:eastAsia="en-US"/>
        </w:rPr>
        <w:t xml:space="preserve">and as acknowledged by GIPL/Southface in </w:t>
      </w:r>
      <w:r w:rsidR="004E2379">
        <w:rPr>
          <w:lang w:eastAsia="en-US"/>
        </w:rPr>
        <w:t>their</w:t>
      </w:r>
      <w:r w:rsidR="009C21A5">
        <w:rPr>
          <w:lang w:eastAsia="en-US"/>
        </w:rPr>
        <w:t xml:space="preserve"> motion, </w:t>
      </w:r>
      <w:r>
        <w:rPr>
          <w:lang w:eastAsia="en-US"/>
        </w:rPr>
        <w:t xml:space="preserve">the </w:t>
      </w:r>
      <w:r w:rsidR="009C21A5">
        <w:rPr>
          <w:lang w:eastAsia="en-US"/>
        </w:rPr>
        <w:t>Company’s position in the 2025 IRP (which accounts for the 0.75</w:t>
      </w:r>
      <w:r w:rsidR="009C1325">
        <w:rPr>
          <w:lang w:eastAsia="en-US"/>
        </w:rPr>
        <w:t>%</w:t>
      </w:r>
      <w:r w:rsidR="009C21A5">
        <w:rPr>
          <w:lang w:eastAsia="en-US"/>
        </w:rPr>
        <w:t xml:space="preserve"> DSM savings target) would result in energy savings of approximately 741,000 MWh—nearly twice as much as the energy savings in 2019 and </w:t>
      </w:r>
      <w:r w:rsidR="007C53C7">
        <w:rPr>
          <w:lang w:eastAsia="en-US"/>
        </w:rPr>
        <w:t>more than one and a half</w:t>
      </w:r>
      <w:r w:rsidR="009C21A5">
        <w:rPr>
          <w:lang w:eastAsia="en-US"/>
        </w:rPr>
        <w:t xml:space="preserve"> times as much as the energy savings in 2022. </w:t>
      </w:r>
      <w:r w:rsidR="00745FD3">
        <w:rPr>
          <w:lang w:eastAsia="en-US"/>
        </w:rPr>
        <w:t>The settled position in this case</w:t>
      </w:r>
      <w:r w:rsidR="00C700EB">
        <w:rPr>
          <w:lang w:eastAsia="en-US"/>
        </w:rPr>
        <w:t xml:space="preserve">, </w:t>
      </w:r>
      <w:r w:rsidR="00745FD3">
        <w:rPr>
          <w:lang w:eastAsia="en-US"/>
        </w:rPr>
        <w:t xml:space="preserve">which </w:t>
      </w:r>
      <w:r w:rsidR="00C700EB">
        <w:rPr>
          <w:lang w:eastAsia="en-US"/>
        </w:rPr>
        <w:t>accounts for the lower savings targets in</w:t>
      </w:r>
      <w:r w:rsidR="00745FD3">
        <w:rPr>
          <w:lang w:eastAsia="en-US"/>
        </w:rPr>
        <w:t xml:space="preserve"> </w:t>
      </w:r>
      <w:r w:rsidR="009C21A5">
        <w:rPr>
          <w:lang w:eastAsia="en-US"/>
        </w:rPr>
        <w:t xml:space="preserve">Staff’s </w:t>
      </w:r>
      <w:r w:rsidR="00745FD3">
        <w:rPr>
          <w:lang w:eastAsia="en-US"/>
        </w:rPr>
        <w:t xml:space="preserve">litigated </w:t>
      </w:r>
      <w:r w:rsidR="009C21A5">
        <w:rPr>
          <w:lang w:eastAsia="en-US"/>
        </w:rPr>
        <w:t>position</w:t>
      </w:r>
      <w:r w:rsidR="00745FD3">
        <w:rPr>
          <w:lang w:eastAsia="en-US"/>
        </w:rPr>
        <w:t xml:space="preserve">, </w:t>
      </w:r>
      <w:r w:rsidR="009C21A5">
        <w:rPr>
          <w:lang w:eastAsia="en-US"/>
        </w:rPr>
        <w:t>likewise would result in an amount of energy savings of approximately 503,000 MWh—</w:t>
      </w:r>
      <w:r w:rsidR="009C21A5">
        <w:rPr>
          <w:i/>
          <w:iCs/>
          <w:lang w:eastAsia="en-US"/>
        </w:rPr>
        <w:t>higher than any of the energy savings in either of the previous IRPs.</w:t>
      </w:r>
      <w:r w:rsidR="00566F5C">
        <w:rPr>
          <w:lang w:eastAsia="en-US"/>
        </w:rPr>
        <w:t xml:space="preserve"> </w:t>
      </w:r>
      <w:r w:rsidR="00745FD3">
        <w:rPr>
          <w:lang w:eastAsia="en-US"/>
        </w:rPr>
        <w:t xml:space="preserve">By negotiating a 0.75% DSM savings target in the Vogtle Prudence Stipulation, and </w:t>
      </w:r>
      <w:r w:rsidR="009C1325">
        <w:rPr>
          <w:lang w:eastAsia="en-US"/>
        </w:rPr>
        <w:t xml:space="preserve">due </w:t>
      </w:r>
      <w:r w:rsidR="00745FD3">
        <w:rPr>
          <w:lang w:eastAsia="en-US"/>
        </w:rPr>
        <w:t>to the Company’s proposal and support</w:t>
      </w:r>
      <w:r w:rsidR="007C53C7">
        <w:rPr>
          <w:lang w:eastAsia="en-US"/>
        </w:rPr>
        <w:t xml:space="preserve"> of this </w:t>
      </w:r>
      <w:r w:rsidR="007C53C7">
        <w:rPr>
          <w:lang w:eastAsia="en-US"/>
        </w:rPr>
        <w:lastRenderedPageBreak/>
        <w:t xml:space="preserve">DSM savings target </w:t>
      </w:r>
      <w:r w:rsidR="00745FD3">
        <w:rPr>
          <w:lang w:eastAsia="en-US"/>
        </w:rPr>
        <w:t xml:space="preserve">during the IRP proceeding, parties </w:t>
      </w:r>
      <w:r w:rsidR="007C53C7">
        <w:rPr>
          <w:lang w:eastAsia="en-US"/>
        </w:rPr>
        <w:t xml:space="preserve">to the Vogtle Prudence Stipulation </w:t>
      </w:r>
      <w:r w:rsidR="00745FD3">
        <w:rPr>
          <w:lang w:eastAsia="en-US"/>
        </w:rPr>
        <w:t xml:space="preserve">ensured that DSM savings </w:t>
      </w:r>
      <w:r w:rsidR="007C53C7">
        <w:rPr>
          <w:lang w:eastAsia="en-US"/>
        </w:rPr>
        <w:t xml:space="preserve">in this case </w:t>
      </w:r>
      <w:r w:rsidR="00745FD3">
        <w:rPr>
          <w:lang w:eastAsia="en-US"/>
        </w:rPr>
        <w:t>were higher than they have ever been in the last two cases. Put simply</w:t>
      </w:r>
      <w:r w:rsidR="00566F5C">
        <w:rPr>
          <w:lang w:eastAsia="en-US"/>
        </w:rPr>
        <w:t xml:space="preserve">, GIPL/Southface and all Georgia Power customers </w:t>
      </w:r>
      <w:r w:rsidR="007C53C7">
        <w:rPr>
          <w:lang w:eastAsia="en-US"/>
        </w:rPr>
        <w:t>have benefitted immensely</w:t>
      </w:r>
      <w:r w:rsidR="00566F5C">
        <w:rPr>
          <w:lang w:eastAsia="en-US"/>
        </w:rPr>
        <w:t xml:space="preserve"> </w:t>
      </w:r>
      <w:r w:rsidR="009C1325">
        <w:rPr>
          <w:lang w:eastAsia="en-US"/>
        </w:rPr>
        <w:t xml:space="preserve">from </w:t>
      </w:r>
      <w:r w:rsidR="007C53C7">
        <w:rPr>
          <w:lang w:eastAsia="en-US"/>
        </w:rPr>
        <w:t xml:space="preserve">the </w:t>
      </w:r>
      <w:r w:rsidR="00566F5C">
        <w:rPr>
          <w:lang w:eastAsia="en-US"/>
        </w:rPr>
        <w:t>0.75%</w:t>
      </w:r>
      <w:r w:rsidR="007C53C7">
        <w:rPr>
          <w:lang w:eastAsia="en-US"/>
        </w:rPr>
        <w:t xml:space="preserve"> DSM savings target</w:t>
      </w:r>
      <w:r w:rsidR="00566F5C">
        <w:rPr>
          <w:lang w:eastAsia="en-US"/>
        </w:rPr>
        <w:t>.</w:t>
      </w:r>
    </w:p>
    <w:p w14:paraId="14273900" w14:textId="1749B5A9" w:rsidR="00E17FC1" w:rsidRPr="0031186A" w:rsidRDefault="00774707" w:rsidP="0028569F">
      <w:pPr>
        <w:pStyle w:val="Heading"/>
        <w:numPr>
          <w:ilvl w:val="0"/>
          <w:numId w:val="23"/>
        </w:numPr>
      </w:pPr>
      <w:r w:rsidRPr="0031186A">
        <w:t>CONCLUSION</w:t>
      </w:r>
    </w:p>
    <w:p w14:paraId="2FCB52FE" w14:textId="2DDDE5A7" w:rsidR="0083570B" w:rsidRDefault="007F0AB5" w:rsidP="0042324E">
      <w:pPr>
        <w:pStyle w:val="BodyText"/>
        <w:widowControl/>
        <w:spacing w:line="480" w:lineRule="auto"/>
        <w:jc w:val="both"/>
      </w:pPr>
      <w:r>
        <w:t xml:space="preserve">The position taken by GIPL/Southface in </w:t>
      </w:r>
      <w:r w:rsidR="004E2379">
        <w:t>their</w:t>
      </w:r>
      <w:r>
        <w:t xml:space="preserve"> Motion to Enforce the Vogtle Settlement is </w:t>
      </w:r>
      <w:r w:rsidR="00856AA6">
        <w:t>unreasonable, illogical, and not supported by the plain meaning of the words used</w:t>
      </w:r>
      <w:r w:rsidR="00B717C6">
        <w:t xml:space="preserve"> in the Stipulation</w:t>
      </w:r>
      <w:r>
        <w:t xml:space="preserve">. </w:t>
      </w:r>
      <w:r w:rsidR="00C700EB">
        <w:rPr>
          <w:lang w:eastAsia="en-US"/>
        </w:rPr>
        <w:t>It is the responsibility of the Intervenor, not the Company, to ensure that the Interven</w:t>
      </w:r>
      <w:r w:rsidR="00B756E4">
        <w:rPr>
          <w:lang w:eastAsia="en-US"/>
        </w:rPr>
        <w:t>o</w:t>
      </w:r>
      <w:r w:rsidR="00C700EB">
        <w:rPr>
          <w:lang w:eastAsia="en-US"/>
        </w:rPr>
        <w:t xml:space="preserve">r understands the terms of the stipulation they are signing, and to clarify positions if they are unclear. </w:t>
      </w:r>
      <w:r w:rsidR="00C700EB">
        <w:t xml:space="preserve">In this case, </w:t>
      </w:r>
      <w:r w:rsidR="00C700EB">
        <w:rPr>
          <w:lang w:eastAsia="en-US"/>
        </w:rPr>
        <w:t xml:space="preserve">the plain and direct meaning of “propose and support” requires no additional clarification, and the Commission should reject any attempt by GIPL/Southface to inject uncertainty into the plain meaning of these words. </w:t>
      </w:r>
      <w:r w:rsidR="00B717C6">
        <w:t xml:space="preserve">Georgia Power </w:t>
      </w:r>
      <w:r w:rsidR="00B717C6">
        <w:rPr>
          <w:lang w:eastAsia="en-US"/>
        </w:rPr>
        <w:t>fulfilled its obligations under the Vogtle Prudence Stipulation</w:t>
      </w:r>
      <w:r w:rsidR="00B717C6">
        <w:t xml:space="preserve"> and no reasonable interpretation of that document could determine otherwise. </w:t>
      </w:r>
      <w:r w:rsidR="000E20FB" w:rsidRPr="000E20FB">
        <w:t xml:space="preserve">For the reasons </w:t>
      </w:r>
      <w:r w:rsidR="00C752F0">
        <w:t>set forth</w:t>
      </w:r>
      <w:r w:rsidR="00F072FB">
        <w:t xml:space="preserve"> </w:t>
      </w:r>
      <w:r w:rsidR="000E20FB" w:rsidRPr="000E20FB">
        <w:t xml:space="preserve">above, the </w:t>
      </w:r>
      <w:r w:rsidR="004E543C">
        <w:t>Commission should deny GIPL/Southface’s motion.</w:t>
      </w:r>
      <w:r w:rsidR="00F247E2">
        <w:t xml:space="preserve"> </w:t>
      </w:r>
    </w:p>
    <w:p w14:paraId="7856F5BB" w14:textId="06B6D9B9" w:rsidR="00E17FC1" w:rsidRDefault="00774707">
      <w:pPr>
        <w:suppressAutoHyphens/>
        <w:overflowPunct w:val="0"/>
        <w:autoSpaceDE w:val="0"/>
        <w:autoSpaceDN w:val="0"/>
        <w:adjustRightInd w:val="0"/>
        <w:spacing w:line="480" w:lineRule="auto"/>
        <w:ind w:firstLine="720"/>
        <w:textAlignment w:val="baseline"/>
      </w:pPr>
      <w:r w:rsidRPr="00282F7E">
        <w:t xml:space="preserve">Respectfully </w:t>
      </w:r>
      <w:r w:rsidRPr="005B2715">
        <w:t xml:space="preserve">submitted, this </w:t>
      </w:r>
      <w:r w:rsidR="0028569F">
        <w:t>14</w:t>
      </w:r>
      <w:r w:rsidR="005B2715" w:rsidRPr="005B2715">
        <w:t xml:space="preserve">th </w:t>
      </w:r>
      <w:r w:rsidRPr="005B2715">
        <w:t>day of July 202</w:t>
      </w:r>
      <w:r w:rsidR="00C92755" w:rsidRPr="005B2715">
        <w:t>5</w:t>
      </w:r>
      <w:r w:rsidRPr="00282F7E">
        <w:t>.</w:t>
      </w:r>
    </w:p>
    <w:p w14:paraId="0994806F" w14:textId="77777777" w:rsidR="00E17FC1" w:rsidRDefault="00E17FC1">
      <w:pPr>
        <w:suppressAutoHyphens/>
        <w:overflowPunct w:val="0"/>
        <w:autoSpaceDE w:val="0"/>
        <w:autoSpaceDN w:val="0"/>
        <w:adjustRightInd w:val="0"/>
        <w:ind w:firstLine="720"/>
        <w:textAlignment w:val="baseline"/>
      </w:pPr>
    </w:p>
    <w:p w14:paraId="572A71D0" w14:textId="77777777" w:rsidR="00A13A0F" w:rsidRPr="00282F7E" w:rsidRDefault="00A13A0F">
      <w:pPr>
        <w:suppressAutoHyphens/>
        <w:overflowPunct w:val="0"/>
        <w:autoSpaceDE w:val="0"/>
        <w:autoSpaceDN w:val="0"/>
        <w:adjustRightInd w:val="0"/>
        <w:ind w:firstLine="720"/>
        <w:textAlignment w:val="baseline"/>
      </w:pPr>
    </w:p>
    <w:p w14:paraId="210FDC9F" w14:textId="15FB4B8C" w:rsidR="00E17FC1" w:rsidRPr="007C53C7" w:rsidRDefault="00774707">
      <w:pPr>
        <w:suppressAutoHyphens/>
        <w:overflowPunct w:val="0"/>
        <w:autoSpaceDE w:val="0"/>
        <w:autoSpaceDN w:val="0"/>
        <w:adjustRightInd w:val="0"/>
        <w:ind w:right="1080"/>
        <w:jc w:val="right"/>
        <w:textAlignment w:val="baseline"/>
        <w:rPr>
          <w:u w:val="single"/>
        </w:rPr>
      </w:pPr>
      <w:r>
        <w:tab/>
      </w:r>
      <w:r w:rsidRPr="007C53C7">
        <w:rPr>
          <w:u w:val="single"/>
        </w:rPr>
        <w:t>_________________________________</w:t>
      </w:r>
    </w:p>
    <w:p w14:paraId="788F7F5F" w14:textId="77777777" w:rsidR="00E17FC1" w:rsidRDefault="00774707">
      <w:pPr>
        <w:suppressAutoHyphens/>
        <w:overflowPunct w:val="0"/>
        <w:autoSpaceDE w:val="0"/>
        <w:autoSpaceDN w:val="0"/>
        <w:adjustRightInd w:val="0"/>
        <w:ind w:left="4320" w:right="1080"/>
        <w:textAlignment w:val="baseline"/>
      </w:pPr>
      <w:r w:rsidRPr="00282F7E">
        <w:t>Brandon F. Marzo</w:t>
      </w:r>
    </w:p>
    <w:p w14:paraId="341667E2" w14:textId="77777777" w:rsidR="00E17FC1" w:rsidRDefault="00774707">
      <w:pPr>
        <w:suppressAutoHyphens/>
        <w:overflowPunct w:val="0"/>
        <w:autoSpaceDE w:val="0"/>
        <w:autoSpaceDN w:val="0"/>
        <w:adjustRightInd w:val="0"/>
        <w:ind w:left="4320" w:right="1080"/>
        <w:textAlignment w:val="baseline"/>
      </w:pPr>
      <w:r>
        <w:t>Steven J. Hewitson</w:t>
      </w:r>
    </w:p>
    <w:p w14:paraId="5A9C130E" w14:textId="77777777" w:rsidR="00E17FC1" w:rsidRDefault="00774707">
      <w:pPr>
        <w:suppressAutoHyphens/>
        <w:overflowPunct w:val="0"/>
        <w:autoSpaceDE w:val="0"/>
        <w:autoSpaceDN w:val="0"/>
        <w:adjustRightInd w:val="0"/>
        <w:ind w:left="4320" w:right="1080"/>
        <w:textAlignment w:val="baseline"/>
      </w:pPr>
      <w:r>
        <w:t>Allison W. Pryor</w:t>
      </w:r>
    </w:p>
    <w:p w14:paraId="4B0E4CA0" w14:textId="531A9F46" w:rsidR="00E60009" w:rsidRPr="00282F7E" w:rsidRDefault="0028569F">
      <w:pPr>
        <w:suppressAutoHyphens/>
        <w:overflowPunct w:val="0"/>
        <w:autoSpaceDE w:val="0"/>
        <w:autoSpaceDN w:val="0"/>
        <w:adjustRightInd w:val="0"/>
        <w:ind w:left="4320" w:right="1080"/>
        <w:textAlignment w:val="baseline"/>
      </w:pPr>
      <w:r>
        <w:t>Michael G. Foo</w:t>
      </w:r>
    </w:p>
    <w:p w14:paraId="3093E4A4" w14:textId="77777777" w:rsidR="00E17FC1" w:rsidRPr="00282F7E" w:rsidRDefault="00774707">
      <w:pPr>
        <w:suppressAutoHyphens/>
        <w:overflowPunct w:val="0"/>
        <w:autoSpaceDE w:val="0"/>
        <w:autoSpaceDN w:val="0"/>
        <w:adjustRightInd w:val="0"/>
        <w:spacing w:after="480"/>
        <w:ind w:left="4320" w:right="1080"/>
        <w:textAlignment w:val="baseline"/>
        <w:rPr>
          <w:i/>
        </w:rPr>
      </w:pPr>
      <w:r w:rsidRPr="00282F7E">
        <w:rPr>
          <w:i/>
        </w:rPr>
        <w:t>Attorneys for Georgia Power Company</w:t>
      </w:r>
    </w:p>
    <w:p w14:paraId="34B73847" w14:textId="41B45C23" w:rsidR="00E17FC1" w:rsidRPr="00A57841" w:rsidRDefault="00774707">
      <w:pPr>
        <w:suppressAutoHyphens/>
        <w:overflowPunct w:val="0"/>
        <w:autoSpaceDE w:val="0"/>
        <w:autoSpaceDN w:val="0"/>
        <w:adjustRightInd w:val="0"/>
        <w:ind w:left="4320"/>
        <w:textAlignment w:val="baseline"/>
        <w:rPr>
          <w:smallCaps/>
        </w:rPr>
      </w:pPr>
      <w:r w:rsidRPr="00A57841">
        <w:rPr>
          <w:smallCaps/>
        </w:rPr>
        <w:t xml:space="preserve">Troutman </w:t>
      </w:r>
      <w:r>
        <w:rPr>
          <w:smallCaps/>
        </w:rPr>
        <w:t xml:space="preserve">Pepper </w:t>
      </w:r>
      <w:r w:rsidR="004B2553">
        <w:rPr>
          <w:smallCaps/>
        </w:rPr>
        <w:t>Locke</w:t>
      </w:r>
      <w:r w:rsidRPr="00A57841">
        <w:rPr>
          <w:smallCaps/>
        </w:rPr>
        <w:t xml:space="preserve"> LLP</w:t>
      </w:r>
    </w:p>
    <w:p w14:paraId="73F6C751" w14:textId="77777777" w:rsidR="00E17FC1" w:rsidRPr="00282F7E" w:rsidRDefault="00774707">
      <w:pPr>
        <w:suppressAutoHyphens/>
        <w:overflowPunct w:val="0"/>
        <w:autoSpaceDE w:val="0"/>
        <w:autoSpaceDN w:val="0"/>
        <w:adjustRightInd w:val="0"/>
        <w:ind w:left="4320" w:right="1080"/>
        <w:textAlignment w:val="baseline"/>
      </w:pPr>
      <w:r w:rsidRPr="00282F7E">
        <w:rPr>
          <w:smallCaps/>
        </w:rPr>
        <w:t>B</w:t>
      </w:r>
      <w:r w:rsidRPr="00282F7E">
        <w:t>ank of America Plaza</w:t>
      </w:r>
      <w:r>
        <w:t xml:space="preserve">, </w:t>
      </w:r>
      <w:r w:rsidRPr="00282F7E">
        <w:t xml:space="preserve">Suite </w:t>
      </w:r>
      <w:r>
        <w:t>3000</w:t>
      </w:r>
    </w:p>
    <w:p w14:paraId="5D497239" w14:textId="77777777" w:rsidR="00E17FC1" w:rsidRPr="00282F7E" w:rsidRDefault="00774707">
      <w:pPr>
        <w:suppressAutoHyphens/>
        <w:overflowPunct w:val="0"/>
        <w:autoSpaceDE w:val="0"/>
        <w:autoSpaceDN w:val="0"/>
        <w:adjustRightInd w:val="0"/>
        <w:ind w:left="4320" w:right="1080"/>
        <w:textAlignment w:val="baseline"/>
      </w:pPr>
      <w:r w:rsidRPr="00282F7E">
        <w:t>600 Peachtree Street, N.E.</w:t>
      </w:r>
    </w:p>
    <w:p w14:paraId="65AFE207" w14:textId="77777777" w:rsidR="00E17FC1" w:rsidRPr="00282F7E" w:rsidRDefault="00774707">
      <w:pPr>
        <w:suppressAutoHyphens/>
        <w:overflowPunct w:val="0"/>
        <w:autoSpaceDE w:val="0"/>
        <w:autoSpaceDN w:val="0"/>
        <w:adjustRightInd w:val="0"/>
        <w:ind w:left="4320" w:right="1080"/>
        <w:textAlignment w:val="baseline"/>
      </w:pPr>
      <w:r w:rsidRPr="00282F7E">
        <w:t>Atlanta, Georgia 30308-2216</w:t>
      </w:r>
    </w:p>
    <w:p w14:paraId="277F00E9" w14:textId="77777777" w:rsidR="00E17FC1" w:rsidRDefault="00774707">
      <w:pPr>
        <w:suppressAutoHyphens/>
        <w:overflowPunct w:val="0"/>
        <w:autoSpaceDE w:val="0"/>
        <w:autoSpaceDN w:val="0"/>
        <w:adjustRightInd w:val="0"/>
        <w:ind w:left="4320" w:right="1080"/>
        <w:textAlignment w:val="baseline"/>
      </w:pPr>
      <w:r w:rsidRPr="00282F7E">
        <w:t>(404) 885-3000</w:t>
      </w:r>
    </w:p>
    <w:sectPr w:rsidR="00E17FC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8360" w14:textId="77777777" w:rsidR="005123AD" w:rsidRDefault="005123AD">
      <w:r>
        <w:separator/>
      </w:r>
    </w:p>
  </w:endnote>
  <w:endnote w:type="continuationSeparator" w:id="0">
    <w:p w14:paraId="6435FC19" w14:textId="77777777" w:rsidR="005123AD" w:rsidRDefault="005123AD">
      <w:r>
        <w:continuationSeparator/>
      </w:r>
    </w:p>
  </w:endnote>
  <w:endnote w:type="continuationNotice" w:id="1">
    <w:p w14:paraId="75D9F086" w14:textId="77777777" w:rsidR="005123AD" w:rsidRDefault="00512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4F54A" w14:textId="33CE6584" w:rsidR="00C0732F" w:rsidRDefault="00097528" w:rsidP="007B27D7">
    <w:pPr>
      <w:pStyle w:val="Footer"/>
      <w:jc w:val="center"/>
      <w:rPr>
        <w:noProof/>
      </w:rPr>
    </w:pPr>
    <w:sdt>
      <w:sdtPr>
        <w:id w:val="2083561928"/>
        <w:docPartObj>
          <w:docPartGallery w:val="Page Numbers (Bottom of Page)"/>
          <w:docPartUnique/>
        </w:docPartObj>
      </w:sdtPr>
      <w:sdtEndPr>
        <w:rPr>
          <w:noProof/>
        </w:rPr>
      </w:sdtEndPr>
      <w:sdtContent>
        <w:r w:rsidR="00FA3395">
          <w:fldChar w:fldCharType="begin"/>
        </w:r>
        <w:r w:rsidR="00FA3395">
          <w:instrText xml:space="preserve"> PAGE   \* MERGEFORMAT </w:instrText>
        </w:r>
        <w:r w:rsidR="00FA3395">
          <w:fldChar w:fldCharType="separate"/>
        </w:r>
        <w:r w:rsidR="00FA3395">
          <w:rPr>
            <w:noProof/>
          </w:rPr>
          <w:t>2</w:t>
        </w:r>
        <w:r w:rsidR="00FA3395">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1341A" w14:textId="77777777" w:rsidR="005123AD" w:rsidRDefault="005123AD">
      <w:r>
        <w:separator/>
      </w:r>
    </w:p>
  </w:footnote>
  <w:footnote w:type="continuationSeparator" w:id="0">
    <w:p w14:paraId="12D96B49" w14:textId="77777777" w:rsidR="005123AD" w:rsidRDefault="005123AD">
      <w:r>
        <w:continuationSeparator/>
      </w:r>
    </w:p>
  </w:footnote>
  <w:footnote w:type="continuationNotice" w:id="1">
    <w:p w14:paraId="19D7AC03" w14:textId="77777777" w:rsidR="005123AD" w:rsidRDefault="005123AD"/>
  </w:footnote>
  <w:footnote w:id="2">
    <w:p w14:paraId="50C4D7F6" w14:textId="243DC064" w:rsidR="006956E5" w:rsidRDefault="006956E5" w:rsidP="00B756E4">
      <w:pPr>
        <w:pStyle w:val="FootnoteText"/>
        <w:jc w:val="both"/>
      </w:pPr>
      <w:r>
        <w:rPr>
          <w:rStyle w:val="FootnoteReference"/>
        </w:rPr>
        <w:footnoteRef/>
      </w:r>
      <w:r>
        <w:t xml:space="preserve"> </w:t>
      </w:r>
      <w:r w:rsidR="00257EA3">
        <w:t>Vogtle Units 3 and 4 Rate Adjustment Stipulation, Docket No. 29849 (Aug. 30, 2023) (hereinafter “</w:t>
      </w:r>
      <w:r>
        <w:t xml:space="preserve">Vogtle Prudence </w:t>
      </w:r>
      <w:r w:rsidR="008D283B">
        <w:t>Stipulation</w:t>
      </w:r>
      <w:r w:rsidR="00257EA3">
        <w:t>”)</w:t>
      </w:r>
      <w:r>
        <w:t xml:space="preserve"> at </w:t>
      </w:r>
      <w:r w:rsidR="008D283B">
        <w:t>4</w:t>
      </w:r>
      <w:r w:rsidR="00257EA3">
        <w:t xml:space="preserve">, Para. </w:t>
      </w:r>
      <w:r w:rsidR="008D283B">
        <w:t>15</w:t>
      </w:r>
      <w:r>
        <w:t>.</w:t>
      </w:r>
    </w:p>
  </w:footnote>
  <w:footnote w:id="3">
    <w:p w14:paraId="1CF6AFB5" w14:textId="7131E03F" w:rsidR="00796B16" w:rsidRDefault="00796B16" w:rsidP="00B756E4">
      <w:pPr>
        <w:pStyle w:val="FootnoteText"/>
        <w:jc w:val="both"/>
      </w:pPr>
      <w:r>
        <w:rPr>
          <w:rStyle w:val="FootnoteReference"/>
        </w:rPr>
        <w:footnoteRef/>
      </w:r>
      <w:r>
        <w:t xml:space="preserve"> </w:t>
      </w:r>
      <w:r w:rsidRPr="00661B83">
        <w:rPr>
          <w:i/>
          <w:iCs/>
        </w:rPr>
        <w:t>See</w:t>
      </w:r>
      <w:r>
        <w:t xml:space="preserve"> </w:t>
      </w:r>
      <w:r w:rsidR="006A383B">
        <w:t>Exhibit GPC-1/PD</w:t>
      </w:r>
      <w:r w:rsidR="007000CE">
        <w:t>, Docket Nos. 56002 &amp; 56003 (Jan. 31, 2025)</w:t>
      </w:r>
      <w:r w:rsidR="006A383B">
        <w:t xml:space="preserve"> (hereinafter “2025 IRP Main Document”) at 2 </w:t>
      </w:r>
      <w:r>
        <w:t>(“</w:t>
      </w:r>
      <w:r w:rsidRPr="00796B16">
        <w:t xml:space="preserve">Additionally, in accordance with the Commission’s </w:t>
      </w:r>
      <w:r w:rsidR="00885075">
        <w:t>[Vogtle Prudence Order]</w:t>
      </w:r>
      <w:r w:rsidRPr="00796B16">
        <w:t>, the Company developed the DSM Proposed Case with a savings target of at least 0.75% of annual retail sales</w:t>
      </w:r>
      <w:r>
        <w:t>.”).</w:t>
      </w:r>
    </w:p>
  </w:footnote>
  <w:footnote w:id="4">
    <w:p w14:paraId="7AE27646" w14:textId="39BE732C" w:rsidR="00670693" w:rsidRDefault="00670693" w:rsidP="00B756E4">
      <w:pPr>
        <w:pStyle w:val="FootnoteText"/>
        <w:jc w:val="both"/>
      </w:pPr>
      <w:r>
        <w:rPr>
          <w:rStyle w:val="FootnoteReference"/>
        </w:rPr>
        <w:footnoteRef/>
      </w:r>
      <w:r w:rsidR="004055AC">
        <w:t xml:space="preserve"> </w:t>
      </w:r>
      <w:r w:rsidR="004055AC" w:rsidRPr="00B4365B">
        <w:t>Stipulation</w:t>
      </w:r>
      <w:r w:rsidR="004055AC">
        <w:t xml:space="preserve">, Docket Nos. 56002 &amp; 56003 (July 9, 2025) </w:t>
      </w:r>
      <w:r>
        <w:t>at 1.</w:t>
      </w:r>
      <w:r w:rsidR="007847C7">
        <w:t xml:space="preserve"> </w:t>
      </w:r>
      <w:r w:rsidR="006A03B7">
        <w:rPr>
          <w:lang w:eastAsia="en-US"/>
        </w:rPr>
        <w:t>S</w:t>
      </w:r>
      <w:r w:rsidR="007847C7">
        <w:rPr>
          <w:lang w:eastAsia="en-US"/>
        </w:rPr>
        <w:t>ix additional intervenors—Advanced Power Alliance</w:t>
      </w:r>
      <w:r w:rsidR="00E634AD">
        <w:rPr>
          <w:lang w:eastAsia="en-US"/>
        </w:rPr>
        <w:t xml:space="preserve"> (“APA”)</w:t>
      </w:r>
      <w:r w:rsidR="007847C7">
        <w:rPr>
          <w:lang w:eastAsia="en-US"/>
        </w:rPr>
        <w:t>, Georgia Association of Manufacturers</w:t>
      </w:r>
      <w:r w:rsidR="00E634AD">
        <w:rPr>
          <w:lang w:eastAsia="en-US"/>
        </w:rPr>
        <w:t xml:space="preserve"> (“GAM”)</w:t>
      </w:r>
      <w:r w:rsidR="007847C7">
        <w:rPr>
          <w:lang w:eastAsia="en-US"/>
        </w:rPr>
        <w:t>, Georgia Solar Energy Industries Association</w:t>
      </w:r>
      <w:r w:rsidR="00E634AD">
        <w:rPr>
          <w:lang w:eastAsia="en-US"/>
        </w:rPr>
        <w:t xml:space="preserve"> (“GSEIA”)</w:t>
      </w:r>
      <w:r w:rsidR="007847C7">
        <w:rPr>
          <w:lang w:eastAsia="en-US"/>
        </w:rPr>
        <w:t>, Southern Renewable Energy Association</w:t>
      </w:r>
      <w:r w:rsidR="00E634AD">
        <w:rPr>
          <w:lang w:eastAsia="en-US"/>
        </w:rPr>
        <w:t xml:space="preserve"> (“SREA”)</w:t>
      </w:r>
      <w:r w:rsidR="007847C7">
        <w:rPr>
          <w:lang w:eastAsia="en-US"/>
        </w:rPr>
        <w:t>, the United States Department of Defense and all other Federal Executive Agencies</w:t>
      </w:r>
      <w:r w:rsidR="00E634AD">
        <w:rPr>
          <w:lang w:eastAsia="en-US"/>
        </w:rPr>
        <w:t xml:space="preserve"> (“DOD/FEA”)</w:t>
      </w:r>
      <w:r w:rsidR="007847C7">
        <w:rPr>
          <w:lang w:eastAsia="en-US"/>
        </w:rPr>
        <w:t>, and Walmart—</w:t>
      </w:r>
      <w:r w:rsidR="006A03B7">
        <w:rPr>
          <w:lang w:eastAsia="en-US"/>
        </w:rPr>
        <w:t xml:space="preserve">have since </w:t>
      </w:r>
      <w:r w:rsidR="007847C7">
        <w:rPr>
          <w:lang w:eastAsia="en-US"/>
        </w:rPr>
        <w:t xml:space="preserve">signed and joined the 2025 IRP Stipulation. </w:t>
      </w:r>
      <w:r w:rsidR="00B617E9">
        <w:rPr>
          <w:i/>
          <w:iCs/>
          <w:lang w:eastAsia="en-US"/>
        </w:rPr>
        <w:t xml:space="preserve">See </w:t>
      </w:r>
      <w:r w:rsidR="00E634AD" w:rsidRPr="00B4365B">
        <w:rPr>
          <w:lang w:eastAsia="en-US"/>
        </w:rPr>
        <w:t>Stipulation Adding APA, GAM, GSEIA, SREA, DOD/FEA, and Walmart</w:t>
      </w:r>
      <w:r w:rsidR="00E634AD" w:rsidRPr="00431D72">
        <w:rPr>
          <w:lang w:eastAsia="en-US"/>
        </w:rPr>
        <w:t xml:space="preserve">, </w:t>
      </w:r>
      <w:r w:rsidR="00E634AD">
        <w:rPr>
          <w:lang w:eastAsia="en-US"/>
        </w:rPr>
        <w:t>Docket No</w:t>
      </w:r>
      <w:r w:rsidR="00431D72">
        <w:rPr>
          <w:lang w:eastAsia="en-US"/>
        </w:rPr>
        <w:t>s</w:t>
      </w:r>
      <w:r w:rsidR="00E634AD">
        <w:rPr>
          <w:lang w:eastAsia="en-US"/>
        </w:rPr>
        <w:t xml:space="preserve">. 56002 </w:t>
      </w:r>
      <w:r w:rsidR="00431D72">
        <w:rPr>
          <w:lang w:eastAsia="en-US"/>
        </w:rPr>
        <w:t xml:space="preserve">&amp; </w:t>
      </w:r>
      <w:r w:rsidR="00E634AD">
        <w:rPr>
          <w:lang w:eastAsia="en-US"/>
        </w:rPr>
        <w:t>56003 (July 11, 2025).</w:t>
      </w:r>
    </w:p>
  </w:footnote>
  <w:footnote w:id="5">
    <w:p w14:paraId="41D7889A" w14:textId="180A82C4" w:rsidR="004F44B1" w:rsidRDefault="004F44B1" w:rsidP="00B756E4">
      <w:pPr>
        <w:pStyle w:val="FootnoteText"/>
        <w:jc w:val="both"/>
      </w:pPr>
      <w:r>
        <w:rPr>
          <w:rStyle w:val="FootnoteReference"/>
        </w:rPr>
        <w:footnoteRef/>
      </w:r>
      <w:r>
        <w:t xml:space="preserve"> </w:t>
      </w:r>
      <w:r w:rsidR="004E2379" w:rsidRPr="00B4365B">
        <w:t>Motion to Enforce Vogtle Settlement</w:t>
      </w:r>
      <w:r w:rsidR="004E2379" w:rsidRPr="00DE2D53">
        <w:t>, Docket</w:t>
      </w:r>
      <w:r w:rsidR="004E2379">
        <w:t xml:space="preserve"> Nos. 56002 &amp; 56003 (July 10, 2025) (hereinafter “GIPL/Southface Motion)</w:t>
      </w:r>
      <w:r>
        <w:t xml:space="preserve"> at 1–3</w:t>
      </w:r>
      <w:r w:rsidR="00245B3A">
        <w:t xml:space="preserve"> (emphasis in original)</w:t>
      </w:r>
      <w:r>
        <w:t>.</w:t>
      </w:r>
    </w:p>
  </w:footnote>
  <w:footnote w:id="6">
    <w:p w14:paraId="11C54DF2" w14:textId="57F6C991" w:rsidR="00245B3A" w:rsidRDefault="00245B3A" w:rsidP="00B756E4">
      <w:pPr>
        <w:pStyle w:val="FootnoteText"/>
        <w:jc w:val="both"/>
      </w:pPr>
      <w:r>
        <w:rPr>
          <w:rStyle w:val="FootnoteReference"/>
        </w:rPr>
        <w:footnoteRef/>
      </w:r>
      <w:r>
        <w:t xml:space="preserve"> Vogtle Prudence Stipulation at </w:t>
      </w:r>
      <w:r w:rsidR="00615068">
        <w:t>4, Para. 15</w:t>
      </w:r>
      <w:r w:rsidR="005D42C2">
        <w:t xml:space="preserve"> (emphasis supplied)</w:t>
      </w:r>
      <w:r>
        <w:t>.</w:t>
      </w:r>
    </w:p>
  </w:footnote>
  <w:footnote w:id="7">
    <w:p w14:paraId="44604442" w14:textId="597AB3B1" w:rsidR="005D42C2" w:rsidRDefault="005D42C2" w:rsidP="00B756E4">
      <w:pPr>
        <w:pStyle w:val="FootnoteText"/>
        <w:jc w:val="both"/>
      </w:pPr>
      <w:r>
        <w:rPr>
          <w:rStyle w:val="FootnoteReference"/>
        </w:rPr>
        <w:footnoteRef/>
      </w:r>
      <w:r>
        <w:t xml:space="preserve"> GIPL/Southface Motion at 2.</w:t>
      </w:r>
    </w:p>
  </w:footnote>
  <w:footnote w:id="8">
    <w:p w14:paraId="28F2B513" w14:textId="69362AC5" w:rsidR="00661B83" w:rsidRDefault="00661B83" w:rsidP="00B756E4">
      <w:pPr>
        <w:pStyle w:val="FootnoteText"/>
        <w:jc w:val="both"/>
      </w:pPr>
      <w:r>
        <w:rPr>
          <w:rStyle w:val="FootnoteReference"/>
        </w:rPr>
        <w:footnoteRef/>
      </w:r>
      <w:r>
        <w:t xml:space="preserve"> </w:t>
      </w:r>
      <w:r w:rsidR="00B96FC4">
        <w:rPr>
          <w:i/>
          <w:iCs/>
        </w:rPr>
        <w:t xml:space="preserve">See, e.g., </w:t>
      </w:r>
      <w:r w:rsidR="00672E10" w:rsidRPr="00B4365B">
        <w:t xml:space="preserve">2025 </w:t>
      </w:r>
      <w:r w:rsidR="00B96FC4" w:rsidRPr="00672E10">
        <w:t>IRP</w:t>
      </w:r>
      <w:r w:rsidR="00B96FC4">
        <w:t xml:space="preserve"> Main Document at 2 (“</w:t>
      </w:r>
      <w:r w:rsidR="00B96FC4" w:rsidRPr="00796B16">
        <w:t xml:space="preserve">Additionally, in accordance with the </w:t>
      </w:r>
      <w:r w:rsidR="00B96FC4">
        <w:t>[Vogtle Prudence Order]</w:t>
      </w:r>
      <w:r w:rsidR="00B96FC4" w:rsidRPr="00796B16">
        <w:t>, the Company developed the DSM Proposed Case with a savings target of at least 0.75% of annual retail sales</w:t>
      </w:r>
      <w:r w:rsidR="00B96FC4">
        <w:t>.”); Tr. 192–93 (Direct Testimony of Dr. Ross Beppler, Carley Goff, A. Wilson Mallard, and Andy Phillips); Tr. 199 (“In developing the Company’s Proposed Case, Georgia Power established the energy savings target in compliance with the Vogtle Prudence Order, which required Georgia Power to propose a DSM performance savings target of at least 0.75% of annual retail sales</w:t>
      </w:r>
      <w:r w:rsidR="00B96FC4">
        <w:rPr>
          <w:sz w:val="22"/>
          <w:szCs w:val="22"/>
        </w:rPr>
        <w:t xml:space="preserve"> . . . . </w:t>
      </w:r>
      <w:r w:rsidR="00B96FC4">
        <w:t>[T]he Proposed Case provides a comprehensive portfolio of energy efficiency and demand response programs, pilots, and other DSM initiatives prepared through the Commission’s DSM Program Planning Approach, consistent the Commission’s policy of minimizing upward pressure on rates and maximizing economic efficiency, in compliance with prior Commission orders.”).</w:t>
      </w:r>
    </w:p>
  </w:footnote>
  <w:footnote w:id="9">
    <w:p w14:paraId="38F50E38" w14:textId="2AB1368A" w:rsidR="00DB545E" w:rsidRPr="00DB545E" w:rsidRDefault="00DB545E" w:rsidP="00B756E4">
      <w:pPr>
        <w:pStyle w:val="FootnoteText"/>
        <w:jc w:val="both"/>
      </w:pPr>
      <w:r>
        <w:rPr>
          <w:rStyle w:val="FootnoteReference"/>
        </w:rPr>
        <w:footnoteRef/>
      </w:r>
      <w:r>
        <w:t xml:space="preserve"> </w:t>
      </w:r>
      <w:r>
        <w:rPr>
          <w:i/>
          <w:iCs/>
        </w:rPr>
        <w:t xml:space="preserve">See, e.g., </w:t>
      </w:r>
      <w:r>
        <w:t>STF-PIA-2-6 (detailing the analytical steps used by the Company to determine the level of savings included in the Company’s Proposed Case); STF-PIA-2-7 (explaining the impact of the 0.75% DSM savings target on economic screening inputs and results); STF-PIA-15-4 (assessing the consideration of other utilities that use 0.75% savings targets</w:t>
      </w:r>
      <w:r w:rsidR="003777B7">
        <w:t>); and STF-PIA-15-5 (providing a list of utilities that have saved 0.75%</w:t>
      </w:r>
      <w:r w:rsidR="00A51D8E">
        <w:t xml:space="preserve"> </w:t>
      </w:r>
      <w:r w:rsidR="003777B7">
        <w:t>of annual retail kWh sales with energy efficiency programs).</w:t>
      </w:r>
    </w:p>
  </w:footnote>
  <w:footnote w:id="10">
    <w:p w14:paraId="5E3DB74C" w14:textId="4C0C54B0" w:rsidR="00C346B4" w:rsidRPr="00C346B4" w:rsidRDefault="00C346B4" w:rsidP="00B756E4">
      <w:pPr>
        <w:pStyle w:val="FootnoteText"/>
        <w:jc w:val="both"/>
      </w:pPr>
      <w:r>
        <w:rPr>
          <w:rStyle w:val="FootnoteReference"/>
        </w:rPr>
        <w:footnoteRef/>
      </w:r>
      <w:r>
        <w:t xml:space="preserve"> </w:t>
      </w:r>
      <w:r>
        <w:rPr>
          <w:i/>
          <w:iCs/>
        </w:rPr>
        <w:t xml:space="preserve">See </w:t>
      </w:r>
      <w:r w:rsidR="00B96FC4">
        <w:t xml:space="preserve">Tr. 199; Tr. 5051; </w:t>
      </w:r>
      <w:r>
        <w:t xml:space="preserve">Tr. 5206 (Company witness Carley Goff reaffirming Company’s support for the DSM Proposed Case in response to </w:t>
      </w:r>
      <w:r w:rsidR="00DB545E">
        <w:t>GIPL/Southface counsel Mr. Sherrier).</w:t>
      </w:r>
    </w:p>
  </w:footnote>
  <w:footnote w:id="11">
    <w:p w14:paraId="18501148" w14:textId="7D444681" w:rsidR="003834B6" w:rsidRPr="003834B6" w:rsidRDefault="003834B6" w:rsidP="00B756E4">
      <w:pPr>
        <w:pStyle w:val="FootnoteText"/>
        <w:tabs>
          <w:tab w:val="left" w:pos="783"/>
        </w:tabs>
        <w:jc w:val="both"/>
      </w:pPr>
      <w:r>
        <w:rPr>
          <w:rStyle w:val="FootnoteReference"/>
        </w:rPr>
        <w:footnoteRef/>
      </w:r>
      <w:r>
        <w:t xml:space="preserve"> </w:t>
      </w:r>
      <w:r>
        <w:rPr>
          <w:i/>
          <w:iCs/>
        </w:rPr>
        <w:t xml:space="preserve">See </w:t>
      </w:r>
      <w:r w:rsidR="00F545E8">
        <w:rPr>
          <w:i/>
          <w:iCs/>
        </w:rPr>
        <w:t>Propose</w:t>
      </w:r>
      <w:r w:rsidR="00F545E8" w:rsidRPr="00B4365B">
        <w:t>, Merriam-Webster,</w:t>
      </w:r>
      <w:r w:rsidR="00F545E8">
        <w:rPr>
          <w:i/>
          <w:iCs/>
        </w:rPr>
        <w:t xml:space="preserve"> </w:t>
      </w:r>
      <w:hyperlink r:id="rId1" w:history="1">
        <w:r w:rsidR="00F545E8" w:rsidRPr="00F545E8">
          <w:rPr>
            <w:rStyle w:val="Hyperlink"/>
          </w:rPr>
          <w:t>https://www.merriam-webster.com/dictionary/propose</w:t>
        </w:r>
      </w:hyperlink>
      <w:r>
        <w:rPr>
          <w:i/>
          <w:iCs/>
        </w:rPr>
        <w:t xml:space="preserve"> </w:t>
      </w:r>
      <w:r>
        <w:t>(last accessed July 11, 2025).</w:t>
      </w:r>
    </w:p>
  </w:footnote>
  <w:footnote w:id="12">
    <w:p w14:paraId="4A394327" w14:textId="1E2F6737" w:rsidR="003834B6" w:rsidRPr="003834B6" w:rsidRDefault="003834B6" w:rsidP="00B756E4">
      <w:pPr>
        <w:pStyle w:val="FootnoteText"/>
        <w:jc w:val="both"/>
      </w:pPr>
      <w:r>
        <w:rPr>
          <w:rStyle w:val="FootnoteReference"/>
        </w:rPr>
        <w:footnoteRef/>
      </w:r>
      <w:r>
        <w:t xml:space="preserve"> </w:t>
      </w:r>
      <w:r>
        <w:rPr>
          <w:i/>
          <w:iCs/>
        </w:rPr>
        <w:t>See</w:t>
      </w:r>
      <w:r w:rsidR="00F545E8">
        <w:rPr>
          <w:i/>
          <w:iCs/>
        </w:rPr>
        <w:t xml:space="preserve"> Support</w:t>
      </w:r>
      <w:r w:rsidR="00F545E8" w:rsidRPr="00EA1CDF">
        <w:t>, Merriam-Webster,</w:t>
      </w:r>
      <w:r w:rsidR="00F545E8">
        <w:t xml:space="preserve"> </w:t>
      </w:r>
      <w:hyperlink r:id="rId2" w:history="1">
        <w:r w:rsidRPr="00BF48A7">
          <w:rPr>
            <w:rStyle w:val="Hyperlink"/>
          </w:rPr>
          <w:t>https://www.merriam-webster.com/dictionary/support</w:t>
        </w:r>
      </w:hyperlink>
      <w:r>
        <w:t xml:space="preserve"> (last accessed July 11, 2025).</w:t>
      </w:r>
    </w:p>
  </w:footnote>
  <w:footnote w:id="13">
    <w:p w14:paraId="48296CE4" w14:textId="432F09E2" w:rsidR="0040460F" w:rsidRPr="00A84098" w:rsidRDefault="0040460F" w:rsidP="00B756E4">
      <w:pPr>
        <w:pStyle w:val="FootnoteText"/>
        <w:jc w:val="both"/>
      </w:pPr>
      <w:r>
        <w:rPr>
          <w:rStyle w:val="FootnoteReference"/>
        </w:rPr>
        <w:footnoteRef/>
      </w:r>
      <w:r>
        <w:t xml:space="preserve"> </w:t>
      </w:r>
      <w:r>
        <w:rPr>
          <w:i/>
          <w:iCs/>
        </w:rPr>
        <w:t xml:space="preserve">See </w:t>
      </w:r>
      <w:r w:rsidR="00A61196" w:rsidRPr="00B4365B">
        <w:t xml:space="preserve">2025 </w:t>
      </w:r>
      <w:r w:rsidRPr="00A61196">
        <w:t>IRP</w:t>
      </w:r>
      <w:r>
        <w:t xml:space="preserve"> Main Document at 2, 5.</w:t>
      </w:r>
    </w:p>
  </w:footnote>
  <w:footnote w:id="14">
    <w:p w14:paraId="070D4E93" w14:textId="4BB06DA4" w:rsidR="0040460F" w:rsidRPr="0040460F" w:rsidRDefault="0040460F" w:rsidP="00B756E4">
      <w:pPr>
        <w:pStyle w:val="FootnoteText"/>
        <w:jc w:val="both"/>
      </w:pPr>
      <w:r>
        <w:rPr>
          <w:rStyle w:val="FootnoteReference"/>
        </w:rPr>
        <w:footnoteRef/>
      </w:r>
      <w:r>
        <w:t xml:space="preserve"> </w:t>
      </w:r>
      <w:r>
        <w:rPr>
          <w:i/>
          <w:iCs/>
        </w:rPr>
        <w:t xml:space="preserve">See </w:t>
      </w:r>
      <w:r w:rsidR="00A61196">
        <w:t xml:space="preserve">Exhibit GPC-1/PD, Docket Nos. 42310 &amp; 42311 (Jan. 31, 2019) (hereinafter “2019 IRP Main Document”) </w:t>
      </w:r>
      <w:r>
        <w:t>at 4–5</w:t>
      </w:r>
      <w:r w:rsidR="00566F5C">
        <w:t>.</w:t>
      </w:r>
    </w:p>
  </w:footnote>
  <w:footnote w:id="15">
    <w:p w14:paraId="269113A7" w14:textId="403FD893" w:rsidR="00A84098" w:rsidRPr="00A84098" w:rsidRDefault="00A84098" w:rsidP="00B756E4">
      <w:pPr>
        <w:pStyle w:val="FootnoteText"/>
        <w:jc w:val="both"/>
      </w:pPr>
      <w:r>
        <w:rPr>
          <w:rStyle w:val="FootnoteReference"/>
        </w:rPr>
        <w:footnoteRef/>
      </w:r>
      <w:r>
        <w:t xml:space="preserve"> </w:t>
      </w:r>
      <w:r>
        <w:rPr>
          <w:i/>
          <w:iCs/>
        </w:rPr>
        <w:t>Id.</w:t>
      </w:r>
      <w:r>
        <w:t xml:space="preserve">; </w:t>
      </w:r>
      <w:r>
        <w:rPr>
          <w:i/>
          <w:iCs/>
        </w:rPr>
        <w:t xml:space="preserve">see also </w:t>
      </w:r>
      <w:r>
        <w:t xml:space="preserve">Tr. </w:t>
      </w:r>
      <w:r w:rsidR="00360746">
        <w:t>120, 142–43, 255, 365, 4757–59.</w:t>
      </w:r>
    </w:p>
  </w:footnote>
  <w:footnote w:id="16">
    <w:p w14:paraId="29020FD5" w14:textId="18576D09" w:rsidR="00A84098" w:rsidRPr="00360746" w:rsidRDefault="00A84098" w:rsidP="00B756E4">
      <w:pPr>
        <w:pStyle w:val="FootnoteText"/>
        <w:jc w:val="both"/>
      </w:pPr>
      <w:r>
        <w:rPr>
          <w:rStyle w:val="FootnoteReference"/>
        </w:rPr>
        <w:footnoteRef/>
      </w:r>
      <w:r>
        <w:t xml:space="preserve"> </w:t>
      </w:r>
      <w:r w:rsidR="00360746">
        <w:rPr>
          <w:i/>
          <w:iCs/>
        </w:rPr>
        <w:t xml:space="preserve">See </w:t>
      </w:r>
      <w:r w:rsidR="00DD0E4F" w:rsidRPr="00B4365B">
        <w:t xml:space="preserve">2025 </w:t>
      </w:r>
      <w:r w:rsidR="00360746">
        <w:t xml:space="preserve">IRP Main Document at 2, 5; </w:t>
      </w:r>
      <w:r w:rsidR="00360746">
        <w:rPr>
          <w:i/>
          <w:iCs/>
        </w:rPr>
        <w:t xml:space="preserve">see also </w:t>
      </w:r>
      <w:r w:rsidR="00360746">
        <w:t>Tr. 140–41, 4755–57, 4789.</w:t>
      </w:r>
    </w:p>
  </w:footnote>
  <w:footnote w:id="17">
    <w:p w14:paraId="6C631391" w14:textId="7E427518" w:rsidR="00356443" w:rsidRPr="00356443" w:rsidRDefault="00356443" w:rsidP="00B756E4">
      <w:pPr>
        <w:pStyle w:val="FootnoteText"/>
        <w:jc w:val="both"/>
      </w:pPr>
      <w:r>
        <w:rPr>
          <w:rStyle w:val="FootnoteReference"/>
        </w:rPr>
        <w:footnoteRef/>
      </w:r>
      <w:r>
        <w:t xml:space="preserve"> </w:t>
      </w:r>
      <w:r>
        <w:rPr>
          <w:i/>
          <w:iCs/>
        </w:rPr>
        <w:t xml:space="preserve">See </w:t>
      </w:r>
      <w:r w:rsidR="00DD0E4F" w:rsidRPr="00B4365B">
        <w:t xml:space="preserve">2025 </w:t>
      </w:r>
      <w:r w:rsidRPr="00DD0E4F">
        <w:t>I</w:t>
      </w:r>
      <w:r>
        <w:t>RP Main Document at 56–57 (“</w:t>
      </w:r>
      <w:r w:rsidRPr="004C776D">
        <w:rPr>
          <w:lang w:val="x-none"/>
        </w:rPr>
        <w:t xml:space="preserve">The energy efficiency and demand response programs in the Company’s Proposed Case for the 2025 IRP achieve approximately -$16 to $3 million in annual net TRC benefits while putting </w:t>
      </w:r>
      <w:r w:rsidRPr="00356443">
        <w:rPr>
          <w:lang w:val="x-none"/>
        </w:rPr>
        <w:t>upward pressure on rates of approximately $630 to $746 million annually under the MG0 economic scenario and approximately -$3 to $24 million in annual net TRC benefits while putting upward pressure on rates of approximately $609 to $733 million annually</w:t>
      </w:r>
      <w:r w:rsidRPr="00C86226">
        <w:rPr>
          <w:lang w:val="x-none"/>
        </w:rPr>
        <w:t xml:space="preserve"> under the 111-MG0 economic scenario over years 2026 - 2028. Nevertheless, the Company supports the DSM programs as described above and included in the 2025 DSM Application, to achieve the levels of energy savings approved by the Commission in the Vogtle Prudence Order.</w:t>
      </w:r>
      <w:r>
        <w:rPr>
          <w:lang w:val="x-none"/>
        </w:rPr>
        <w:t>”)</w:t>
      </w:r>
      <w:r w:rsidR="00DD0E4F">
        <w:rPr>
          <w:lang w:val="x-none"/>
        </w:rPr>
        <w:t>.</w:t>
      </w:r>
    </w:p>
  </w:footnote>
  <w:footnote w:id="18">
    <w:p w14:paraId="48E94621" w14:textId="13E70B98" w:rsidR="00D505A6" w:rsidRPr="00D505A6" w:rsidRDefault="00D505A6" w:rsidP="00B756E4">
      <w:pPr>
        <w:pStyle w:val="FootnoteText"/>
        <w:jc w:val="both"/>
      </w:pPr>
      <w:r>
        <w:rPr>
          <w:rStyle w:val="FootnoteReference"/>
        </w:rPr>
        <w:footnoteRef/>
      </w:r>
      <w:r>
        <w:t xml:space="preserve"> </w:t>
      </w:r>
      <w:r>
        <w:rPr>
          <w:i/>
          <w:iCs/>
        </w:rPr>
        <w:t xml:space="preserve">See </w:t>
      </w:r>
      <w:r>
        <w:t>Georgia Power Company</w:t>
      </w:r>
      <w:r w:rsidR="00DD0E4F">
        <w:t>’s</w:t>
      </w:r>
      <w:r>
        <w:t xml:space="preserve"> </w:t>
      </w:r>
      <w:r w:rsidR="00DD0E4F" w:rsidRPr="00DD0E4F">
        <w:t>Application for the Certification, Decertification, and Amended Demand Side Management Plan</w:t>
      </w:r>
      <w:r>
        <w:t>, Appendix D, Docket No. 44161</w:t>
      </w:r>
      <w:r w:rsidR="005B6575">
        <w:t xml:space="preserve"> (Jan. 31, 2022)</w:t>
      </w:r>
      <w:r>
        <w:t xml:space="preserve">; </w:t>
      </w:r>
      <w:r w:rsidR="00EA20C6" w:rsidRPr="00EA1CDF">
        <w:t>Direct Testimony of Jamie Barber, Nick Cooper, and Richard F. Spellman</w:t>
      </w:r>
      <w:r w:rsidR="00EA20C6">
        <w:t xml:space="preserve">, </w:t>
      </w:r>
      <w:r>
        <w:t>Staff Exhibit BCS</w:t>
      </w:r>
      <w:r w:rsidR="002C4529">
        <w:t>-</w:t>
      </w:r>
      <w:r>
        <w:t>9, Docket Nos. 44160 and 44161</w:t>
      </w:r>
      <w:r w:rsidR="00E35DB8">
        <w:t xml:space="preserve"> (May 6, 2022)</w:t>
      </w:r>
      <w:r>
        <w:t>.</w:t>
      </w:r>
    </w:p>
  </w:footnote>
  <w:footnote w:id="19">
    <w:p w14:paraId="668A4818" w14:textId="76E21B44" w:rsidR="002C4529" w:rsidRPr="002C4529" w:rsidRDefault="00D505A6" w:rsidP="00B756E4">
      <w:pPr>
        <w:pStyle w:val="FootnoteText"/>
        <w:jc w:val="both"/>
      </w:pPr>
      <w:r>
        <w:rPr>
          <w:rStyle w:val="FootnoteReference"/>
        </w:rPr>
        <w:footnoteRef/>
      </w:r>
      <w:r>
        <w:t xml:space="preserve"> </w:t>
      </w:r>
      <w:r w:rsidR="002C4529">
        <w:rPr>
          <w:i/>
          <w:iCs/>
        </w:rPr>
        <w:t xml:space="preserve">See </w:t>
      </w:r>
      <w:r w:rsidR="00E76A55">
        <w:t xml:space="preserve">Georgia Power Company’s </w:t>
      </w:r>
      <w:r w:rsidR="00E76A55" w:rsidRPr="00DD0E4F">
        <w:t>Application for the Certification, Decertification, and Amended Demand Side Management Plan</w:t>
      </w:r>
      <w:r w:rsidR="002C4529">
        <w:t>, Appendix D-1, Docket No. 4231</w:t>
      </w:r>
      <w:r w:rsidR="00E76A55">
        <w:t>1</w:t>
      </w:r>
      <w:r w:rsidR="005B6575">
        <w:t xml:space="preserve"> (</w:t>
      </w:r>
      <w:r w:rsidR="00E76A55">
        <w:t>Jan. 31, 2019</w:t>
      </w:r>
      <w:r w:rsidR="005B6575">
        <w:t>)</w:t>
      </w:r>
      <w:r w:rsidR="00E76A55">
        <w:t xml:space="preserve"> </w:t>
      </w:r>
      <w:r w:rsidR="002C4529" w:rsidRPr="00E56F00">
        <w:t xml:space="preserve">; </w:t>
      </w:r>
      <w:r w:rsidR="002C4529" w:rsidRPr="00B4365B">
        <w:t>Direct Testimony of Jamie Barber, Nick Cooper, and Richard F. Spellman</w:t>
      </w:r>
      <w:r w:rsidR="002C4529" w:rsidRPr="00E56F00">
        <w:t>, Do</w:t>
      </w:r>
      <w:r w:rsidR="002C4529">
        <w:t>cket No. 42311 (Apr</w:t>
      </w:r>
      <w:r w:rsidR="001D5FCE">
        <w:t>.</w:t>
      </w:r>
      <w:r w:rsidR="002C4529">
        <w:t xml:space="preserve"> 25, 2019), at 23 (noting that Staff’s recommended DSM Plan has the same energy savings as the Company’s).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0DB"/>
    <w:multiLevelType w:val="hybridMultilevel"/>
    <w:tmpl w:val="9112E50E"/>
    <w:lvl w:ilvl="0" w:tplc="B07C09B8">
      <w:start w:val="1"/>
      <w:numFmt w:val="bullet"/>
      <w:lvlText w:val=""/>
      <w:lvlJc w:val="left"/>
      <w:pPr>
        <w:ind w:left="1440" w:hanging="360"/>
      </w:pPr>
      <w:rPr>
        <w:rFonts w:ascii="Symbol" w:hAnsi="Symbol" w:hint="default"/>
      </w:rPr>
    </w:lvl>
    <w:lvl w:ilvl="1" w:tplc="48E4AB98" w:tentative="1">
      <w:start w:val="1"/>
      <w:numFmt w:val="bullet"/>
      <w:lvlText w:val="o"/>
      <w:lvlJc w:val="left"/>
      <w:pPr>
        <w:ind w:left="2160" w:hanging="360"/>
      </w:pPr>
      <w:rPr>
        <w:rFonts w:ascii="Courier New" w:hAnsi="Courier New" w:cs="Courier New" w:hint="default"/>
      </w:rPr>
    </w:lvl>
    <w:lvl w:ilvl="2" w:tplc="81D68B7C" w:tentative="1">
      <w:start w:val="1"/>
      <w:numFmt w:val="bullet"/>
      <w:lvlText w:val=""/>
      <w:lvlJc w:val="left"/>
      <w:pPr>
        <w:ind w:left="2880" w:hanging="360"/>
      </w:pPr>
      <w:rPr>
        <w:rFonts w:ascii="Wingdings" w:hAnsi="Wingdings" w:hint="default"/>
      </w:rPr>
    </w:lvl>
    <w:lvl w:ilvl="3" w:tplc="77D83F74" w:tentative="1">
      <w:start w:val="1"/>
      <w:numFmt w:val="bullet"/>
      <w:lvlText w:val=""/>
      <w:lvlJc w:val="left"/>
      <w:pPr>
        <w:ind w:left="3600" w:hanging="360"/>
      </w:pPr>
      <w:rPr>
        <w:rFonts w:ascii="Symbol" w:hAnsi="Symbol" w:hint="default"/>
      </w:rPr>
    </w:lvl>
    <w:lvl w:ilvl="4" w:tplc="97F62712" w:tentative="1">
      <w:start w:val="1"/>
      <w:numFmt w:val="bullet"/>
      <w:lvlText w:val="o"/>
      <w:lvlJc w:val="left"/>
      <w:pPr>
        <w:ind w:left="4320" w:hanging="360"/>
      </w:pPr>
      <w:rPr>
        <w:rFonts w:ascii="Courier New" w:hAnsi="Courier New" w:cs="Courier New" w:hint="default"/>
      </w:rPr>
    </w:lvl>
    <w:lvl w:ilvl="5" w:tplc="5CF6AF98" w:tentative="1">
      <w:start w:val="1"/>
      <w:numFmt w:val="bullet"/>
      <w:lvlText w:val=""/>
      <w:lvlJc w:val="left"/>
      <w:pPr>
        <w:ind w:left="5040" w:hanging="360"/>
      </w:pPr>
      <w:rPr>
        <w:rFonts w:ascii="Wingdings" w:hAnsi="Wingdings" w:hint="default"/>
      </w:rPr>
    </w:lvl>
    <w:lvl w:ilvl="6" w:tplc="EB8AC416" w:tentative="1">
      <w:start w:val="1"/>
      <w:numFmt w:val="bullet"/>
      <w:lvlText w:val=""/>
      <w:lvlJc w:val="left"/>
      <w:pPr>
        <w:ind w:left="5760" w:hanging="360"/>
      </w:pPr>
      <w:rPr>
        <w:rFonts w:ascii="Symbol" w:hAnsi="Symbol" w:hint="default"/>
      </w:rPr>
    </w:lvl>
    <w:lvl w:ilvl="7" w:tplc="F8AC765E" w:tentative="1">
      <w:start w:val="1"/>
      <w:numFmt w:val="bullet"/>
      <w:lvlText w:val="o"/>
      <w:lvlJc w:val="left"/>
      <w:pPr>
        <w:ind w:left="6480" w:hanging="360"/>
      </w:pPr>
      <w:rPr>
        <w:rFonts w:ascii="Courier New" w:hAnsi="Courier New" w:cs="Courier New" w:hint="default"/>
      </w:rPr>
    </w:lvl>
    <w:lvl w:ilvl="8" w:tplc="7584A47A" w:tentative="1">
      <w:start w:val="1"/>
      <w:numFmt w:val="bullet"/>
      <w:lvlText w:val=""/>
      <w:lvlJc w:val="left"/>
      <w:pPr>
        <w:ind w:left="7200" w:hanging="360"/>
      </w:pPr>
      <w:rPr>
        <w:rFonts w:ascii="Wingdings" w:hAnsi="Wingdings" w:hint="default"/>
      </w:rPr>
    </w:lvl>
  </w:abstractNum>
  <w:abstractNum w:abstractNumId="1" w15:restartNumberingAfterBreak="0">
    <w:nsid w:val="11215145"/>
    <w:multiLevelType w:val="hybridMultilevel"/>
    <w:tmpl w:val="25FCA88E"/>
    <w:lvl w:ilvl="0" w:tplc="77A2F962">
      <w:start w:val="1"/>
      <w:numFmt w:val="bullet"/>
      <w:lvlText w:val="-"/>
      <w:lvlJc w:val="left"/>
      <w:pPr>
        <w:ind w:left="720" w:hanging="360"/>
      </w:pPr>
      <w:rPr>
        <w:rFonts w:ascii="Times New Roman" w:eastAsia="SimSun" w:hAnsi="Times New Roman" w:cs="Times New Roman" w:hint="default"/>
      </w:rPr>
    </w:lvl>
    <w:lvl w:ilvl="1" w:tplc="D2D6D118" w:tentative="1">
      <w:start w:val="1"/>
      <w:numFmt w:val="bullet"/>
      <w:lvlText w:val="o"/>
      <w:lvlJc w:val="left"/>
      <w:pPr>
        <w:ind w:left="1440" w:hanging="360"/>
      </w:pPr>
      <w:rPr>
        <w:rFonts w:ascii="Courier New" w:hAnsi="Courier New" w:cs="Courier New" w:hint="default"/>
      </w:rPr>
    </w:lvl>
    <w:lvl w:ilvl="2" w:tplc="46B27D50" w:tentative="1">
      <w:start w:val="1"/>
      <w:numFmt w:val="bullet"/>
      <w:lvlText w:val=""/>
      <w:lvlJc w:val="left"/>
      <w:pPr>
        <w:ind w:left="2160" w:hanging="360"/>
      </w:pPr>
      <w:rPr>
        <w:rFonts w:ascii="Wingdings" w:hAnsi="Wingdings" w:hint="default"/>
      </w:rPr>
    </w:lvl>
    <w:lvl w:ilvl="3" w:tplc="D152CFFC" w:tentative="1">
      <w:start w:val="1"/>
      <w:numFmt w:val="bullet"/>
      <w:lvlText w:val=""/>
      <w:lvlJc w:val="left"/>
      <w:pPr>
        <w:ind w:left="2880" w:hanging="360"/>
      </w:pPr>
      <w:rPr>
        <w:rFonts w:ascii="Symbol" w:hAnsi="Symbol" w:hint="default"/>
      </w:rPr>
    </w:lvl>
    <w:lvl w:ilvl="4" w:tplc="6CD22F06" w:tentative="1">
      <w:start w:val="1"/>
      <w:numFmt w:val="bullet"/>
      <w:lvlText w:val="o"/>
      <w:lvlJc w:val="left"/>
      <w:pPr>
        <w:ind w:left="3600" w:hanging="360"/>
      </w:pPr>
      <w:rPr>
        <w:rFonts w:ascii="Courier New" w:hAnsi="Courier New" w:cs="Courier New" w:hint="default"/>
      </w:rPr>
    </w:lvl>
    <w:lvl w:ilvl="5" w:tplc="5EB822DE" w:tentative="1">
      <w:start w:val="1"/>
      <w:numFmt w:val="bullet"/>
      <w:lvlText w:val=""/>
      <w:lvlJc w:val="left"/>
      <w:pPr>
        <w:ind w:left="4320" w:hanging="360"/>
      </w:pPr>
      <w:rPr>
        <w:rFonts w:ascii="Wingdings" w:hAnsi="Wingdings" w:hint="default"/>
      </w:rPr>
    </w:lvl>
    <w:lvl w:ilvl="6" w:tplc="1422DD06" w:tentative="1">
      <w:start w:val="1"/>
      <w:numFmt w:val="bullet"/>
      <w:lvlText w:val=""/>
      <w:lvlJc w:val="left"/>
      <w:pPr>
        <w:ind w:left="5040" w:hanging="360"/>
      </w:pPr>
      <w:rPr>
        <w:rFonts w:ascii="Symbol" w:hAnsi="Symbol" w:hint="default"/>
      </w:rPr>
    </w:lvl>
    <w:lvl w:ilvl="7" w:tplc="C9CC2B4A" w:tentative="1">
      <w:start w:val="1"/>
      <w:numFmt w:val="bullet"/>
      <w:lvlText w:val="o"/>
      <w:lvlJc w:val="left"/>
      <w:pPr>
        <w:ind w:left="5760" w:hanging="360"/>
      </w:pPr>
      <w:rPr>
        <w:rFonts w:ascii="Courier New" w:hAnsi="Courier New" w:cs="Courier New" w:hint="default"/>
      </w:rPr>
    </w:lvl>
    <w:lvl w:ilvl="8" w:tplc="361E7A16" w:tentative="1">
      <w:start w:val="1"/>
      <w:numFmt w:val="bullet"/>
      <w:lvlText w:val=""/>
      <w:lvlJc w:val="left"/>
      <w:pPr>
        <w:ind w:left="6480" w:hanging="360"/>
      </w:pPr>
      <w:rPr>
        <w:rFonts w:ascii="Wingdings" w:hAnsi="Wingdings" w:hint="default"/>
      </w:rPr>
    </w:lvl>
  </w:abstractNum>
  <w:abstractNum w:abstractNumId="2" w15:restartNumberingAfterBreak="0">
    <w:nsid w:val="12AD3147"/>
    <w:multiLevelType w:val="hybridMultilevel"/>
    <w:tmpl w:val="5ADAD12A"/>
    <w:lvl w:ilvl="0" w:tplc="3446C290">
      <w:start w:val="1"/>
      <w:numFmt w:val="bullet"/>
      <w:lvlText w:val=""/>
      <w:lvlJc w:val="left"/>
      <w:pPr>
        <w:ind w:left="1440" w:hanging="360"/>
      </w:pPr>
      <w:rPr>
        <w:rFonts w:ascii="Symbol" w:hAnsi="Symbol" w:hint="default"/>
      </w:rPr>
    </w:lvl>
    <w:lvl w:ilvl="1" w:tplc="C3C84FD2">
      <w:start w:val="1"/>
      <w:numFmt w:val="bullet"/>
      <w:lvlText w:val="o"/>
      <w:lvlJc w:val="left"/>
      <w:pPr>
        <w:ind w:left="2160" w:hanging="360"/>
      </w:pPr>
      <w:rPr>
        <w:rFonts w:ascii="Courier New" w:hAnsi="Courier New" w:cs="Courier New" w:hint="default"/>
      </w:rPr>
    </w:lvl>
    <w:lvl w:ilvl="2" w:tplc="94CCC756" w:tentative="1">
      <w:start w:val="1"/>
      <w:numFmt w:val="bullet"/>
      <w:lvlText w:val=""/>
      <w:lvlJc w:val="left"/>
      <w:pPr>
        <w:ind w:left="2880" w:hanging="360"/>
      </w:pPr>
      <w:rPr>
        <w:rFonts w:ascii="Wingdings" w:hAnsi="Wingdings" w:hint="default"/>
      </w:rPr>
    </w:lvl>
    <w:lvl w:ilvl="3" w:tplc="DFBEFF2A" w:tentative="1">
      <w:start w:val="1"/>
      <w:numFmt w:val="bullet"/>
      <w:lvlText w:val=""/>
      <w:lvlJc w:val="left"/>
      <w:pPr>
        <w:ind w:left="3600" w:hanging="360"/>
      </w:pPr>
      <w:rPr>
        <w:rFonts w:ascii="Symbol" w:hAnsi="Symbol" w:hint="default"/>
      </w:rPr>
    </w:lvl>
    <w:lvl w:ilvl="4" w:tplc="B6C8C216" w:tentative="1">
      <w:start w:val="1"/>
      <w:numFmt w:val="bullet"/>
      <w:lvlText w:val="o"/>
      <w:lvlJc w:val="left"/>
      <w:pPr>
        <w:ind w:left="4320" w:hanging="360"/>
      </w:pPr>
      <w:rPr>
        <w:rFonts w:ascii="Courier New" w:hAnsi="Courier New" w:cs="Courier New" w:hint="default"/>
      </w:rPr>
    </w:lvl>
    <w:lvl w:ilvl="5" w:tplc="51FA6182" w:tentative="1">
      <w:start w:val="1"/>
      <w:numFmt w:val="bullet"/>
      <w:lvlText w:val=""/>
      <w:lvlJc w:val="left"/>
      <w:pPr>
        <w:ind w:left="5040" w:hanging="360"/>
      </w:pPr>
      <w:rPr>
        <w:rFonts w:ascii="Wingdings" w:hAnsi="Wingdings" w:hint="default"/>
      </w:rPr>
    </w:lvl>
    <w:lvl w:ilvl="6" w:tplc="3BE2AF2A" w:tentative="1">
      <w:start w:val="1"/>
      <w:numFmt w:val="bullet"/>
      <w:lvlText w:val=""/>
      <w:lvlJc w:val="left"/>
      <w:pPr>
        <w:ind w:left="5760" w:hanging="360"/>
      </w:pPr>
      <w:rPr>
        <w:rFonts w:ascii="Symbol" w:hAnsi="Symbol" w:hint="default"/>
      </w:rPr>
    </w:lvl>
    <w:lvl w:ilvl="7" w:tplc="7794E824" w:tentative="1">
      <w:start w:val="1"/>
      <w:numFmt w:val="bullet"/>
      <w:lvlText w:val="o"/>
      <w:lvlJc w:val="left"/>
      <w:pPr>
        <w:ind w:left="6480" w:hanging="360"/>
      </w:pPr>
      <w:rPr>
        <w:rFonts w:ascii="Courier New" w:hAnsi="Courier New" w:cs="Courier New" w:hint="default"/>
      </w:rPr>
    </w:lvl>
    <w:lvl w:ilvl="8" w:tplc="3F285F42" w:tentative="1">
      <w:start w:val="1"/>
      <w:numFmt w:val="bullet"/>
      <w:lvlText w:val=""/>
      <w:lvlJc w:val="left"/>
      <w:pPr>
        <w:ind w:left="7200" w:hanging="360"/>
      </w:pPr>
      <w:rPr>
        <w:rFonts w:ascii="Wingdings" w:hAnsi="Wingdings" w:hint="default"/>
      </w:rPr>
    </w:lvl>
  </w:abstractNum>
  <w:abstractNum w:abstractNumId="3" w15:restartNumberingAfterBreak="0">
    <w:nsid w:val="143F5976"/>
    <w:multiLevelType w:val="hybridMultilevel"/>
    <w:tmpl w:val="7D722428"/>
    <w:lvl w:ilvl="0" w:tplc="6EB82B70">
      <w:start w:val="1"/>
      <w:numFmt w:val="bullet"/>
      <w:lvlText w:val=""/>
      <w:lvlJc w:val="left"/>
      <w:pPr>
        <w:ind w:left="720" w:hanging="360"/>
      </w:pPr>
      <w:rPr>
        <w:rFonts w:ascii="Symbol" w:hAnsi="Symbol" w:hint="default"/>
      </w:rPr>
    </w:lvl>
    <w:lvl w:ilvl="1" w:tplc="AC640F46" w:tentative="1">
      <w:start w:val="1"/>
      <w:numFmt w:val="bullet"/>
      <w:lvlText w:val="o"/>
      <w:lvlJc w:val="left"/>
      <w:pPr>
        <w:ind w:left="1440" w:hanging="360"/>
      </w:pPr>
      <w:rPr>
        <w:rFonts w:ascii="Courier New" w:hAnsi="Courier New" w:cs="Courier New" w:hint="default"/>
      </w:rPr>
    </w:lvl>
    <w:lvl w:ilvl="2" w:tplc="50A667CC">
      <w:start w:val="1"/>
      <w:numFmt w:val="bullet"/>
      <w:lvlText w:val=""/>
      <w:lvlJc w:val="left"/>
      <w:pPr>
        <w:ind w:left="2160" w:hanging="360"/>
      </w:pPr>
      <w:rPr>
        <w:rFonts w:ascii="Wingdings" w:hAnsi="Wingdings" w:hint="default"/>
      </w:rPr>
    </w:lvl>
    <w:lvl w:ilvl="3" w:tplc="83D85912" w:tentative="1">
      <w:start w:val="1"/>
      <w:numFmt w:val="bullet"/>
      <w:lvlText w:val=""/>
      <w:lvlJc w:val="left"/>
      <w:pPr>
        <w:ind w:left="2880" w:hanging="360"/>
      </w:pPr>
      <w:rPr>
        <w:rFonts w:ascii="Symbol" w:hAnsi="Symbol" w:hint="default"/>
      </w:rPr>
    </w:lvl>
    <w:lvl w:ilvl="4" w:tplc="9162C520" w:tentative="1">
      <w:start w:val="1"/>
      <w:numFmt w:val="bullet"/>
      <w:lvlText w:val="o"/>
      <w:lvlJc w:val="left"/>
      <w:pPr>
        <w:ind w:left="3600" w:hanging="360"/>
      </w:pPr>
      <w:rPr>
        <w:rFonts w:ascii="Courier New" w:hAnsi="Courier New" w:cs="Courier New" w:hint="default"/>
      </w:rPr>
    </w:lvl>
    <w:lvl w:ilvl="5" w:tplc="CEECE180" w:tentative="1">
      <w:start w:val="1"/>
      <w:numFmt w:val="bullet"/>
      <w:lvlText w:val=""/>
      <w:lvlJc w:val="left"/>
      <w:pPr>
        <w:ind w:left="4320" w:hanging="360"/>
      </w:pPr>
      <w:rPr>
        <w:rFonts w:ascii="Wingdings" w:hAnsi="Wingdings" w:hint="default"/>
      </w:rPr>
    </w:lvl>
    <w:lvl w:ilvl="6" w:tplc="780E44FE" w:tentative="1">
      <w:start w:val="1"/>
      <w:numFmt w:val="bullet"/>
      <w:lvlText w:val=""/>
      <w:lvlJc w:val="left"/>
      <w:pPr>
        <w:ind w:left="5040" w:hanging="360"/>
      </w:pPr>
      <w:rPr>
        <w:rFonts w:ascii="Symbol" w:hAnsi="Symbol" w:hint="default"/>
      </w:rPr>
    </w:lvl>
    <w:lvl w:ilvl="7" w:tplc="1834C5BA" w:tentative="1">
      <w:start w:val="1"/>
      <w:numFmt w:val="bullet"/>
      <w:lvlText w:val="o"/>
      <w:lvlJc w:val="left"/>
      <w:pPr>
        <w:ind w:left="5760" w:hanging="360"/>
      </w:pPr>
      <w:rPr>
        <w:rFonts w:ascii="Courier New" w:hAnsi="Courier New" w:cs="Courier New" w:hint="default"/>
      </w:rPr>
    </w:lvl>
    <w:lvl w:ilvl="8" w:tplc="0E542854" w:tentative="1">
      <w:start w:val="1"/>
      <w:numFmt w:val="bullet"/>
      <w:lvlText w:val=""/>
      <w:lvlJc w:val="left"/>
      <w:pPr>
        <w:ind w:left="6480" w:hanging="360"/>
      </w:pPr>
      <w:rPr>
        <w:rFonts w:ascii="Wingdings" w:hAnsi="Wingdings" w:hint="default"/>
      </w:rPr>
    </w:lvl>
  </w:abstractNum>
  <w:abstractNum w:abstractNumId="4" w15:restartNumberingAfterBreak="0">
    <w:nsid w:val="1D6E3A91"/>
    <w:multiLevelType w:val="hybridMultilevel"/>
    <w:tmpl w:val="910E5DFA"/>
    <w:lvl w:ilvl="0" w:tplc="CC600C06">
      <w:start w:val="1"/>
      <w:numFmt w:val="decimal"/>
      <w:lvlText w:val="%1."/>
      <w:lvlJc w:val="left"/>
      <w:pPr>
        <w:ind w:left="1170" w:hanging="360"/>
      </w:pPr>
      <w:rPr>
        <w:rFonts w:hint="default"/>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2A623939"/>
    <w:multiLevelType w:val="hybridMultilevel"/>
    <w:tmpl w:val="57CCA8D0"/>
    <w:lvl w:ilvl="0" w:tplc="2488EC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6182F"/>
    <w:multiLevelType w:val="hybridMultilevel"/>
    <w:tmpl w:val="A93835F2"/>
    <w:lvl w:ilvl="0" w:tplc="D92AE190">
      <w:start w:val="1"/>
      <w:numFmt w:val="bullet"/>
      <w:lvlText w:val="-"/>
      <w:lvlJc w:val="left"/>
      <w:pPr>
        <w:ind w:left="720" w:hanging="360"/>
      </w:pPr>
      <w:rPr>
        <w:rFonts w:ascii="Times New Roman" w:eastAsia="SimSun" w:hAnsi="Times New Roman" w:cs="Times New Roman" w:hint="default"/>
      </w:rPr>
    </w:lvl>
    <w:lvl w:ilvl="1" w:tplc="E0DE2C8C" w:tentative="1">
      <w:start w:val="1"/>
      <w:numFmt w:val="bullet"/>
      <w:lvlText w:val="o"/>
      <w:lvlJc w:val="left"/>
      <w:pPr>
        <w:ind w:left="1440" w:hanging="360"/>
      </w:pPr>
      <w:rPr>
        <w:rFonts w:ascii="Courier New" w:hAnsi="Courier New" w:cs="Courier New" w:hint="default"/>
      </w:rPr>
    </w:lvl>
    <w:lvl w:ilvl="2" w:tplc="70365830" w:tentative="1">
      <w:start w:val="1"/>
      <w:numFmt w:val="bullet"/>
      <w:lvlText w:val=""/>
      <w:lvlJc w:val="left"/>
      <w:pPr>
        <w:ind w:left="2160" w:hanging="360"/>
      </w:pPr>
      <w:rPr>
        <w:rFonts w:ascii="Wingdings" w:hAnsi="Wingdings" w:hint="default"/>
      </w:rPr>
    </w:lvl>
    <w:lvl w:ilvl="3" w:tplc="A92EE3F4" w:tentative="1">
      <w:start w:val="1"/>
      <w:numFmt w:val="bullet"/>
      <w:lvlText w:val=""/>
      <w:lvlJc w:val="left"/>
      <w:pPr>
        <w:ind w:left="2880" w:hanging="360"/>
      </w:pPr>
      <w:rPr>
        <w:rFonts w:ascii="Symbol" w:hAnsi="Symbol" w:hint="default"/>
      </w:rPr>
    </w:lvl>
    <w:lvl w:ilvl="4" w:tplc="BAA6FE52" w:tentative="1">
      <w:start w:val="1"/>
      <w:numFmt w:val="bullet"/>
      <w:lvlText w:val="o"/>
      <w:lvlJc w:val="left"/>
      <w:pPr>
        <w:ind w:left="3600" w:hanging="360"/>
      </w:pPr>
      <w:rPr>
        <w:rFonts w:ascii="Courier New" w:hAnsi="Courier New" w:cs="Courier New" w:hint="default"/>
      </w:rPr>
    </w:lvl>
    <w:lvl w:ilvl="5" w:tplc="49A23230" w:tentative="1">
      <w:start w:val="1"/>
      <w:numFmt w:val="bullet"/>
      <w:lvlText w:val=""/>
      <w:lvlJc w:val="left"/>
      <w:pPr>
        <w:ind w:left="4320" w:hanging="360"/>
      </w:pPr>
      <w:rPr>
        <w:rFonts w:ascii="Wingdings" w:hAnsi="Wingdings" w:hint="default"/>
      </w:rPr>
    </w:lvl>
    <w:lvl w:ilvl="6" w:tplc="B394BB92" w:tentative="1">
      <w:start w:val="1"/>
      <w:numFmt w:val="bullet"/>
      <w:lvlText w:val=""/>
      <w:lvlJc w:val="left"/>
      <w:pPr>
        <w:ind w:left="5040" w:hanging="360"/>
      </w:pPr>
      <w:rPr>
        <w:rFonts w:ascii="Symbol" w:hAnsi="Symbol" w:hint="default"/>
      </w:rPr>
    </w:lvl>
    <w:lvl w:ilvl="7" w:tplc="4080F2B8" w:tentative="1">
      <w:start w:val="1"/>
      <w:numFmt w:val="bullet"/>
      <w:lvlText w:val="o"/>
      <w:lvlJc w:val="left"/>
      <w:pPr>
        <w:ind w:left="5760" w:hanging="360"/>
      </w:pPr>
      <w:rPr>
        <w:rFonts w:ascii="Courier New" w:hAnsi="Courier New" w:cs="Courier New" w:hint="default"/>
      </w:rPr>
    </w:lvl>
    <w:lvl w:ilvl="8" w:tplc="2982CD72" w:tentative="1">
      <w:start w:val="1"/>
      <w:numFmt w:val="bullet"/>
      <w:lvlText w:val=""/>
      <w:lvlJc w:val="left"/>
      <w:pPr>
        <w:ind w:left="6480" w:hanging="360"/>
      </w:pPr>
      <w:rPr>
        <w:rFonts w:ascii="Wingdings" w:hAnsi="Wingdings" w:hint="default"/>
      </w:rPr>
    </w:lvl>
  </w:abstractNum>
  <w:abstractNum w:abstractNumId="7" w15:restartNumberingAfterBreak="0">
    <w:nsid w:val="31106AED"/>
    <w:multiLevelType w:val="hybridMultilevel"/>
    <w:tmpl w:val="F4E6A80A"/>
    <w:lvl w:ilvl="0" w:tplc="72CC9FB0">
      <w:start w:val="1"/>
      <w:numFmt w:val="bullet"/>
      <w:lvlText w:val=""/>
      <w:lvlJc w:val="left"/>
      <w:pPr>
        <w:ind w:left="360" w:hanging="360"/>
      </w:pPr>
      <w:rPr>
        <w:rFonts w:ascii="Symbol" w:hAnsi="Symbol" w:hint="default"/>
      </w:rPr>
    </w:lvl>
    <w:lvl w:ilvl="1" w:tplc="AD3EC0E6">
      <w:start w:val="1"/>
      <w:numFmt w:val="bullet"/>
      <w:lvlText w:val="o"/>
      <w:lvlJc w:val="left"/>
      <w:pPr>
        <w:ind w:left="1080" w:hanging="360"/>
      </w:pPr>
      <w:rPr>
        <w:rFonts w:ascii="Courier New" w:hAnsi="Courier New" w:cs="Courier New" w:hint="default"/>
      </w:rPr>
    </w:lvl>
    <w:lvl w:ilvl="2" w:tplc="C4E2B8DA" w:tentative="1">
      <w:start w:val="1"/>
      <w:numFmt w:val="bullet"/>
      <w:lvlText w:val=""/>
      <w:lvlJc w:val="left"/>
      <w:pPr>
        <w:ind w:left="1800" w:hanging="360"/>
      </w:pPr>
      <w:rPr>
        <w:rFonts w:ascii="Wingdings" w:hAnsi="Wingdings" w:hint="default"/>
      </w:rPr>
    </w:lvl>
    <w:lvl w:ilvl="3" w:tplc="3CF047EC" w:tentative="1">
      <w:start w:val="1"/>
      <w:numFmt w:val="bullet"/>
      <w:lvlText w:val=""/>
      <w:lvlJc w:val="left"/>
      <w:pPr>
        <w:ind w:left="2520" w:hanging="360"/>
      </w:pPr>
      <w:rPr>
        <w:rFonts w:ascii="Symbol" w:hAnsi="Symbol" w:hint="default"/>
      </w:rPr>
    </w:lvl>
    <w:lvl w:ilvl="4" w:tplc="A78C2F24" w:tentative="1">
      <w:start w:val="1"/>
      <w:numFmt w:val="bullet"/>
      <w:lvlText w:val="o"/>
      <w:lvlJc w:val="left"/>
      <w:pPr>
        <w:ind w:left="3240" w:hanging="360"/>
      </w:pPr>
      <w:rPr>
        <w:rFonts w:ascii="Courier New" w:hAnsi="Courier New" w:cs="Courier New" w:hint="default"/>
      </w:rPr>
    </w:lvl>
    <w:lvl w:ilvl="5" w:tplc="E9E0E70C" w:tentative="1">
      <w:start w:val="1"/>
      <w:numFmt w:val="bullet"/>
      <w:lvlText w:val=""/>
      <w:lvlJc w:val="left"/>
      <w:pPr>
        <w:ind w:left="3960" w:hanging="360"/>
      </w:pPr>
      <w:rPr>
        <w:rFonts w:ascii="Wingdings" w:hAnsi="Wingdings" w:hint="default"/>
      </w:rPr>
    </w:lvl>
    <w:lvl w:ilvl="6" w:tplc="45B49F6C" w:tentative="1">
      <w:start w:val="1"/>
      <w:numFmt w:val="bullet"/>
      <w:lvlText w:val=""/>
      <w:lvlJc w:val="left"/>
      <w:pPr>
        <w:ind w:left="4680" w:hanging="360"/>
      </w:pPr>
      <w:rPr>
        <w:rFonts w:ascii="Symbol" w:hAnsi="Symbol" w:hint="default"/>
      </w:rPr>
    </w:lvl>
    <w:lvl w:ilvl="7" w:tplc="A3E29906" w:tentative="1">
      <w:start w:val="1"/>
      <w:numFmt w:val="bullet"/>
      <w:lvlText w:val="o"/>
      <w:lvlJc w:val="left"/>
      <w:pPr>
        <w:ind w:left="5400" w:hanging="360"/>
      </w:pPr>
      <w:rPr>
        <w:rFonts w:ascii="Courier New" w:hAnsi="Courier New" w:cs="Courier New" w:hint="default"/>
      </w:rPr>
    </w:lvl>
    <w:lvl w:ilvl="8" w:tplc="18A48D10" w:tentative="1">
      <w:start w:val="1"/>
      <w:numFmt w:val="bullet"/>
      <w:lvlText w:val=""/>
      <w:lvlJc w:val="left"/>
      <w:pPr>
        <w:ind w:left="6120" w:hanging="360"/>
      </w:pPr>
      <w:rPr>
        <w:rFonts w:ascii="Wingdings" w:hAnsi="Wingdings" w:hint="default"/>
      </w:rPr>
    </w:lvl>
  </w:abstractNum>
  <w:abstractNum w:abstractNumId="8" w15:restartNumberingAfterBreak="0">
    <w:nsid w:val="3BE45BDD"/>
    <w:multiLevelType w:val="hybridMultilevel"/>
    <w:tmpl w:val="D32E4C8C"/>
    <w:lvl w:ilvl="0" w:tplc="B1243D08">
      <w:start w:val="1"/>
      <w:numFmt w:val="bullet"/>
      <w:lvlText w:val=""/>
      <w:lvlJc w:val="left"/>
      <w:pPr>
        <w:ind w:left="1440" w:hanging="360"/>
      </w:pPr>
      <w:rPr>
        <w:rFonts w:ascii="Symbol" w:hAnsi="Symbol" w:hint="default"/>
      </w:rPr>
    </w:lvl>
    <w:lvl w:ilvl="1" w:tplc="C9BE19B0" w:tentative="1">
      <w:start w:val="1"/>
      <w:numFmt w:val="bullet"/>
      <w:lvlText w:val="o"/>
      <w:lvlJc w:val="left"/>
      <w:pPr>
        <w:ind w:left="2160" w:hanging="360"/>
      </w:pPr>
      <w:rPr>
        <w:rFonts w:ascii="Courier New" w:hAnsi="Courier New" w:cs="Courier New" w:hint="default"/>
      </w:rPr>
    </w:lvl>
    <w:lvl w:ilvl="2" w:tplc="E0EE9D7E" w:tentative="1">
      <w:start w:val="1"/>
      <w:numFmt w:val="bullet"/>
      <w:lvlText w:val=""/>
      <w:lvlJc w:val="left"/>
      <w:pPr>
        <w:ind w:left="2880" w:hanging="360"/>
      </w:pPr>
      <w:rPr>
        <w:rFonts w:ascii="Wingdings" w:hAnsi="Wingdings" w:hint="default"/>
      </w:rPr>
    </w:lvl>
    <w:lvl w:ilvl="3" w:tplc="6C2E8CE0" w:tentative="1">
      <w:start w:val="1"/>
      <w:numFmt w:val="bullet"/>
      <w:lvlText w:val=""/>
      <w:lvlJc w:val="left"/>
      <w:pPr>
        <w:ind w:left="3600" w:hanging="360"/>
      </w:pPr>
      <w:rPr>
        <w:rFonts w:ascii="Symbol" w:hAnsi="Symbol" w:hint="default"/>
      </w:rPr>
    </w:lvl>
    <w:lvl w:ilvl="4" w:tplc="18AE3810" w:tentative="1">
      <w:start w:val="1"/>
      <w:numFmt w:val="bullet"/>
      <w:lvlText w:val="o"/>
      <w:lvlJc w:val="left"/>
      <w:pPr>
        <w:ind w:left="4320" w:hanging="360"/>
      </w:pPr>
      <w:rPr>
        <w:rFonts w:ascii="Courier New" w:hAnsi="Courier New" w:cs="Courier New" w:hint="default"/>
      </w:rPr>
    </w:lvl>
    <w:lvl w:ilvl="5" w:tplc="2D686B68" w:tentative="1">
      <w:start w:val="1"/>
      <w:numFmt w:val="bullet"/>
      <w:lvlText w:val=""/>
      <w:lvlJc w:val="left"/>
      <w:pPr>
        <w:ind w:left="5040" w:hanging="360"/>
      </w:pPr>
      <w:rPr>
        <w:rFonts w:ascii="Wingdings" w:hAnsi="Wingdings" w:hint="default"/>
      </w:rPr>
    </w:lvl>
    <w:lvl w:ilvl="6" w:tplc="F1FAB308" w:tentative="1">
      <w:start w:val="1"/>
      <w:numFmt w:val="bullet"/>
      <w:lvlText w:val=""/>
      <w:lvlJc w:val="left"/>
      <w:pPr>
        <w:ind w:left="5760" w:hanging="360"/>
      </w:pPr>
      <w:rPr>
        <w:rFonts w:ascii="Symbol" w:hAnsi="Symbol" w:hint="default"/>
      </w:rPr>
    </w:lvl>
    <w:lvl w:ilvl="7" w:tplc="E94A5BDC" w:tentative="1">
      <w:start w:val="1"/>
      <w:numFmt w:val="bullet"/>
      <w:lvlText w:val="o"/>
      <w:lvlJc w:val="left"/>
      <w:pPr>
        <w:ind w:left="6480" w:hanging="360"/>
      </w:pPr>
      <w:rPr>
        <w:rFonts w:ascii="Courier New" w:hAnsi="Courier New" w:cs="Courier New" w:hint="default"/>
      </w:rPr>
    </w:lvl>
    <w:lvl w:ilvl="8" w:tplc="8084CD30" w:tentative="1">
      <w:start w:val="1"/>
      <w:numFmt w:val="bullet"/>
      <w:lvlText w:val=""/>
      <w:lvlJc w:val="left"/>
      <w:pPr>
        <w:ind w:left="7200" w:hanging="360"/>
      </w:pPr>
      <w:rPr>
        <w:rFonts w:ascii="Wingdings" w:hAnsi="Wingdings" w:hint="default"/>
      </w:rPr>
    </w:lvl>
  </w:abstractNum>
  <w:abstractNum w:abstractNumId="9" w15:restartNumberingAfterBreak="0">
    <w:nsid w:val="3C8206E2"/>
    <w:multiLevelType w:val="hybridMultilevel"/>
    <w:tmpl w:val="7DA228C6"/>
    <w:lvl w:ilvl="0" w:tplc="C706B2F6">
      <w:start w:val="1"/>
      <w:numFmt w:val="bullet"/>
      <w:lvlText w:val=""/>
      <w:lvlJc w:val="left"/>
      <w:pPr>
        <w:ind w:left="720" w:hanging="360"/>
      </w:pPr>
      <w:rPr>
        <w:rFonts w:ascii="Symbol" w:hAnsi="Symbol" w:hint="default"/>
      </w:rPr>
    </w:lvl>
    <w:lvl w:ilvl="1" w:tplc="079EAFF2">
      <w:start w:val="1"/>
      <w:numFmt w:val="bullet"/>
      <w:lvlText w:val="o"/>
      <w:lvlJc w:val="left"/>
      <w:pPr>
        <w:ind w:left="1440" w:hanging="360"/>
      </w:pPr>
      <w:rPr>
        <w:rFonts w:ascii="Courier New" w:hAnsi="Courier New" w:cs="Courier New" w:hint="default"/>
      </w:rPr>
    </w:lvl>
    <w:lvl w:ilvl="2" w:tplc="7DB621D2">
      <w:start w:val="1"/>
      <w:numFmt w:val="bullet"/>
      <w:lvlText w:val=""/>
      <w:lvlJc w:val="left"/>
      <w:pPr>
        <w:ind w:left="2160" w:hanging="360"/>
      </w:pPr>
      <w:rPr>
        <w:rFonts w:ascii="Wingdings" w:hAnsi="Wingdings" w:hint="default"/>
      </w:rPr>
    </w:lvl>
    <w:lvl w:ilvl="3" w:tplc="BFE0AF4A">
      <w:start w:val="1"/>
      <w:numFmt w:val="bullet"/>
      <w:lvlText w:val=""/>
      <w:lvlJc w:val="left"/>
      <w:pPr>
        <w:ind w:left="2880" w:hanging="360"/>
      </w:pPr>
      <w:rPr>
        <w:rFonts w:ascii="Symbol" w:hAnsi="Symbol" w:hint="default"/>
      </w:rPr>
    </w:lvl>
    <w:lvl w:ilvl="4" w:tplc="44E67876">
      <w:start w:val="1"/>
      <w:numFmt w:val="bullet"/>
      <w:lvlText w:val="o"/>
      <w:lvlJc w:val="left"/>
      <w:pPr>
        <w:ind w:left="3600" w:hanging="360"/>
      </w:pPr>
      <w:rPr>
        <w:rFonts w:ascii="Courier New" w:hAnsi="Courier New" w:cs="Courier New" w:hint="default"/>
      </w:rPr>
    </w:lvl>
    <w:lvl w:ilvl="5" w:tplc="E9C4B5D0">
      <w:start w:val="1"/>
      <w:numFmt w:val="bullet"/>
      <w:lvlText w:val=""/>
      <w:lvlJc w:val="left"/>
      <w:pPr>
        <w:ind w:left="4320" w:hanging="360"/>
      </w:pPr>
      <w:rPr>
        <w:rFonts w:ascii="Wingdings" w:hAnsi="Wingdings" w:hint="default"/>
      </w:rPr>
    </w:lvl>
    <w:lvl w:ilvl="6" w:tplc="8C0AF9DC">
      <w:start w:val="1"/>
      <w:numFmt w:val="bullet"/>
      <w:lvlText w:val=""/>
      <w:lvlJc w:val="left"/>
      <w:pPr>
        <w:ind w:left="5040" w:hanging="360"/>
      </w:pPr>
      <w:rPr>
        <w:rFonts w:ascii="Symbol" w:hAnsi="Symbol" w:hint="default"/>
      </w:rPr>
    </w:lvl>
    <w:lvl w:ilvl="7" w:tplc="19985F6A">
      <w:start w:val="1"/>
      <w:numFmt w:val="bullet"/>
      <w:lvlText w:val="o"/>
      <w:lvlJc w:val="left"/>
      <w:pPr>
        <w:ind w:left="5760" w:hanging="360"/>
      </w:pPr>
      <w:rPr>
        <w:rFonts w:ascii="Courier New" w:hAnsi="Courier New" w:cs="Courier New" w:hint="default"/>
      </w:rPr>
    </w:lvl>
    <w:lvl w:ilvl="8" w:tplc="D126246E">
      <w:start w:val="1"/>
      <w:numFmt w:val="bullet"/>
      <w:lvlText w:val=""/>
      <w:lvlJc w:val="left"/>
      <w:pPr>
        <w:ind w:left="6480" w:hanging="360"/>
      </w:pPr>
      <w:rPr>
        <w:rFonts w:ascii="Wingdings" w:hAnsi="Wingdings" w:hint="default"/>
      </w:rPr>
    </w:lvl>
  </w:abstractNum>
  <w:abstractNum w:abstractNumId="10" w15:restartNumberingAfterBreak="0">
    <w:nsid w:val="3DDE3808"/>
    <w:multiLevelType w:val="hybridMultilevel"/>
    <w:tmpl w:val="86642666"/>
    <w:lvl w:ilvl="0" w:tplc="E8E4F49C">
      <w:start w:val="1"/>
      <w:numFmt w:val="bullet"/>
      <w:lvlText w:val=""/>
      <w:lvlJc w:val="left"/>
      <w:pPr>
        <w:ind w:left="1440" w:hanging="360"/>
      </w:pPr>
      <w:rPr>
        <w:rFonts w:ascii="Symbol" w:hAnsi="Symbol" w:hint="default"/>
      </w:rPr>
    </w:lvl>
    <w:lvl w:ilvl="1" w:tplc="9112DEEA" w:tentative="1">
      <w:start w:val="1"/>
      <w:numFmt w:val="bullet"/>
      <w:lvlText w:val="o"/>
      <w:lvlJc w:val="left"/>
      <w:pPr>
        <w:ind w:left="2160" w:hanging="360"/>
      </w:pPr>
      <w:rPr>
        <w:rFonts w:ascii="Courier New" w:hAnsi="Courier New" w:cs="Courier New" w:hint="default"/>
      </w:rPr>
    </w:lvl>
    <w:lvl w:ilvl="2" w:tplc="43126B4A" w:tentative="1">
      <w:start w:val="1"/>
      <w:numFmt w:val="bullet"/>
      <w:lvlText w:val=""/>
      <w:lvlJc w:val="left"/>
      <w:pPr>
        <w:ind w:left="2880" w:hanging="360"/>
      </w:pPr>
      <w:rPr>
        <w:rFonts w:ascii="Wingdings" w:hAnsi="Wingdings" w:hint="default"/>
      </w:rPr>
    </w:lvl>
    <w:lvl w:ilvl="3" w:tplc="82AC855C" w:tentative="1">
      <w:start w:val="1"/>
      <w:numFmt w:val="bullet"/>
      <w:lvlText w:val=""/>
      <w:lvlJc w:val="left"/>
      <w:pPr>
        <w:ind w:left="3600" w:hanging="360"/>
      </w:pPr>
      <w:rPr>
        <w:rFonts w:ascii="Symbol" w:hAnsi="Symbol" w:hint="default"/>
      </w:rPr>
    </w:lvl>
    <w:lvl w:ilvl="4" w:tplc="B5EA714C" w:tentative="1">
      <w:start w:val="1"/>
      <w:numFmt w:val="bullet"/>
      <w:lvlText w:val="o"/>
      <w:lvlJc w:val="left"/>
      <w:pPr>
        <w:ind w:left="4320" w:hanging="360"/>
      </w:pPr>
      <w:rPr>
        <w:rFonts w:ascii="Courier New" w:hAnsi="Courier New" w:cs="Courier New" w:hint="default"/>
      </w:rPr>
    </w:lvl>
    <w:lvl w:ilvl="5" w:tplc="FF4248B2" w:tentative="1">
      <w:start w:val="1"/>
      <w:numFmt w:val="bullet"/>
      <w:lvlText w:val=""/>
      <w:lvlJc w:val="left"/>
      <w:pPr>
        <w:ind w:left="5040" w:hanging="360"/>
      </w:pPr>
      <w:rPr>
        <w:rFonts w:ascii="Wingdings" w:hAnsi="Wingdings" w:hint="default"/>
      </w:rPr>
    </w:lvl>
    <w:lvl w:ilvl="6" w:tplc="3DDEECB8" w:tentative="1">
      <w:start w:val="1"/>
      <w:numFmt w:val="bullet"/>
      <w:lvlText w:val=""/>
      <w:lvlJc w:val="left"/>
      <w:pPr>
        <w:ind w:left="5760" w:hanging="360"/>
      </w:pPr>
      <w:rPr>
        <w:rFonts w:ascii="Symbol" w:hAnsi="Symbol" w:hint="default"/>
      </w:rPr>
    </w:lvl>
    <w:lvl w:ilvl="7" w:tplc="F6F0E1C2" w:tentative="1">
      <w:start w:val="1"/>
      <w:numFmt w:val="bullet"/>
      <w:lvlText w:val="o"/>
      <w:lvlJc w:val="left"/>
      <w:pPr>
        <w:ind w:left="6480" w:hanging="360"/>
      </w:pPr>
      <w:rPr>
        <w:rFonts w:ascii="Courier New" w:hAnsi="Courier New" w:cs="Courier New" w:hint="default"/>
      </w:rPr>
    </w:lvl>
    <w:lvl w:ilvl="8" w:tplc="85B61360" w:tentative="1">
      <w:start w:val="1"/>
      <w:numFmt w:val="bullet"/>
      <w:lvlText w:val=""/>
      <w:lvlJc w:val="left"/>
      <w:pPr>
        <w:ind w:left="7200" w:hanging="360"/>
      </w:pPr>
      <w:rPr>
        <w:rFonts w:ascii="Wingdings" w:hAnsi="Wingdings" w:hint="default"/>
      </w:rPr>
    </w:lvl>
  </w:abstractNum>
  <w:abstractNum w:abstractNumId="11" w15:restartNumberingAfterBreak="0">
    <w:nsid w:val="44EC488B"/>
    <w:multiLevelType w:val="hybridMultilevel"/>
    <w:tmpl w:val="A6A8243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A32413"/>
    <w:multiLevelType w:val="multilevel"/>
    <w:tmpl w:val="912E294A"/>
    <w:lvl w:ilvl="0">
      <w:start w:val="1"/>
      <w:numFmt w:val="none"/>
      <w:pStyle w:val="Answer1"/>
      <w:lvlText w:val="A.%1"/>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color w:val="00000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E2D0D93"/>
    <w:multiLevelType w:val="multilevel"/>
    <w:tmpl w:val="C7745050"/>
    <w:lvl w:ilvl="0">
      <w:start w:val="1"/>
      <w:numFmt w:val="upperRoman"/>
      <w:pStyle w:val="OutlineL1"/>
      <w:lvlText w:val="%1."/>
      <w:lvlJc w:val="left"/>
      <w:pPr>
        <w:tabs>
          <w:tab w:val="num" w:pos="720"/>
        </w:tabs>
        <w:ind w:left="0" w:firstLine="0"/>
      </w:pPr>
      <w:rPr>
        <w:b/>
        <w:i w:val="0"/>
        <w:caps/>
        <w:smallCaps w:val="0"/>
        <w:u w:val="none"/>
      </w:rPr>
    </w:lvl>
    <w:lvl w:ilvl="1">
      <w:start w:val="1"/>
      <w:numFmt w:val="upperLetter"/>
      <w:pStyle w:val="OutlineL2"/>
      <w:lvlText w:val="%2."/>
      <w:lvlJc w:val="left"/>
      <w:pPr>
        <w:tabs>
          <w:tab w:val="num" w:pos="1440"/>
        </w:tabs>
        <w:ind w:left="0" w:firstLine="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OutlineL3"/>
      <w:lvlText w:val="%3."/>
      <w:lvlJc w:val="left"/>
      <w:pPr>
        <w:tabs>
          <w:tab w:val="num" w:pos="2160"/>
        </w:tabs>
        <w:ind w:left="0" w:firstLine="1440"/>
      </w:pPr>
      <w:rPr>
        <w:rFonts w:ascii="Times New Roman" w:hAnsi="Times New Roman" w:cs="Times New Roman"/>
        <w:b/>
        <w:bCs w:val="0"/>
        <w:i w:val="0"/>
        <w:iCs w:val="0"/>
        <w:caps w:val="0"/>
        <w:smallCaps w:val="0"/>
        <w:strike w:val="0"/>
        <w:dstrike w:val="0"/>
        <w:noProof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OutlineL4"/>
      <w:lvlText w:val="%4."/>
      <w:lvlJc w:val="left"/>
      <w:pPr>
        <w:tabs>
          <w:tab w:val="num" w:pos="2880"/>
        </w:tabs>
        <w:ind w:left="0" w:firstLine="2160"/>
      </w:pPr>
      <w:rPr>
        <w:b/>
        <w:i/>
        <w:caps w:val="0"/>
        <w:smallCaps w:val="0"/>
        <w:u w:val="none"/>
      </w:rPr>
    </w:lvl>
    <w:lvl w:ilvl="4">
      <w:start w:val="1"/>
      <w:numFmt w:val="lowerRoman"/>
      <w:pStyle w:val="OutlineL5"/>
      <w:lvlText w:val="(%5)"/>
      <w:lvlJc w:val="left"/>
      <w:pPr>
        <w:tabs>
          <w:tab w:val="num" w:pos="3600"/>
        </w:tabs>
        <w:ind w:left="0" w:firstLine="2880"/>
      </w:pPr>
      <w:rPr>
        <w:b w:val="0"/>
        <w:i w:val="0"/>
        <w:caps w:val="0"/>
        <w:smallCaps w:val="0"/>
        <w:u w:val="none"/>
      </w:rPr>
    </w:lvl>
    <w:lvl w:ilvl="5">
      <w:start w:val="1"/>
      <w:numFmt w:val="lowerLetter"/>
      <w:pStyle w:val="OutlineL6"/>
      <w:lvlText w:val="(%6)"/>
      <w:lvlJc w:val="left"/>
      <w:pPr>
        <w:tabs>
          <w:tab w:val="num" w:pos="4320"/>
        </w:tabs>
        <w:ind w:left="0" w:firstLine="3600"/>
      </w:pPr>
      <w:rPr>
        <w:b w:val="0"/>
        <w:i w:val="0"/>
        <w:caps w:val="0"/>
        <w:smallCaps w:val="0"/>
        <w:u w:val="none"/>
      </w:rPr>
    </w:lvl>
    <w:lvl w:ilvl="6">
      <w:start w:val="1"/>
      <w:numFmt w:val="decimal"/>
      <w:pStyle w:val="OutlineL7"/>
      <w:lvlText w:val="(%7)"/>
      <w:lvlJc w:val="left"/>
      <w:pPr>
        <w:tabs>
          <w:tab w:val="num" w:pos="5040"/>
        </w:tabs>
        <w:ind w:left="0" w:firstLine="4320"/>
      </w:pPr>
      <w:rPr>
        <w:b w:val="0"/>
        <w:i w:val="0"/>
        <w:caps w:val="0"/>
        <w:smallCaps w:val="0"/>
        <w:u w:val="none"/>
      </w:rPr>
    </w:lvl>
    <w:lvl w:ilvl="7">
      <w:start w:val="1"/>
      <w:numFmt w:val="lowerRoman"/>
      <w:pStyle w:val="OutlineL8"/>
      <w:lvlText w:val="%8)"/>
      <w:lvlJc w:val="left"/>
      <w:pPr>
        <w:tabs>
          <w:tab w:val="num" w:pos="5760"/>
        </w:tabs>
        <w:ind w:left="0" w:firstLine="5040"/>
      </w:pPr>
      <w:rPr>
        <w:b w:val="0"/>
        <w:i w:val="0"/>
        <w:caps w:val="0"/>
        <w:smallCaps w:val="0"/>
        <w:u w:val="none"/>
      </w:rPr>
    </w:lvl>
    <w:lvl w:ilvl="8">
      <w:start w:val="1"/>
      <w:numFmt w:val="lowerLetter"/>
      <w:pStyle w:val="OutlineL9"/>
      <w:lvlText w:val="%9)"/>
      <w:lvlJc w:val="left"/>
      <w:pPr>
        <w:tabs>
          <w:tab w:val="num" w:pos="6480"/>
        </w:tabs>
        <w:ind w:left="0" w:firstLine="5760"/>
      </w:pPr>
      <w:rPr>
        <w:b w:val="0"/>
        <w:i w:val="0"/>
        <w:caps w:val="0"/>
        <w:smallCaps w:val="0"/>
        <w:u w:val="none"/>
      </w:rPr>
    </w:lvl>
  </w:abstractNum>
  <w:abstractNum w:abstractNumId="14" w15:restartNumberingAfterBreak="0">
    <w:nsid w:val="7AB7103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F023BE3"/>
    <w:multiLevelType w:val="hybridMultilevel"/>
    <w:tmpl w:val="8D2C7A5C"/>
    <w:lvl w:ilvl="0" w:tplc="023867D4">
      <w:start w:val="1"/>
      <w:numFmt w:val="bullet"/>
      <w:lvlText w:val=""/>
      <w:lvlJc w:val="left"/>
      <w:pPr>
        <w:ind w:left="720" w:hanging="360"/>
      </w:pPr>
      <w:rPr>
        <w:rFonts w:ascii="Symbol" w:hAnsi="Symbol" w:hint="default"/>
      </w:rPr>
    </w:lvl>
    <w:lvl w:ilvl="1" w:tplc="928804CE" w:tentative="1">
      <w:start w:val="1"/>
      <w:numFmt w:val="bullet"/>
      <w:lvlText w:val="o"/>
      <w:lvlJc w:val="left"/>
      <w:pPr>
        <w:ind w:left="1440" w:hanging="360"/>
      </w:pPr>
      <w:rPr>
        <w:rFonts w:ascii="Courier New" w:hAnsi="Courier New" w:cs="Courier New" w:hint="default"/>
      </w:rPr>
    </w:lvl>
    <w:lvl w:ilvl="2" w:tplc="93BAC240" w:tentative="1">
      <w:start w:val="1"/>
      <w:numFmt w:val="bullet"/>
      <w:lvlText w:val=""/>
      <w:lvlJc w:val="left"/>
      <w:pPr>
        <w:ind w:left="2160" w:hanging="360"/>
      </w:pPr>
      <w:rPr>
        <w:rFonts w:ascii="Wingdings" w:hAnsi="Wingdings" w:hint="default"/>
      </w:rPr>
    </w:lvl>
    <w:lvl w:ilvl="3" w:tplc="867E17CE" w:tentative="1">
      <w:start w:val="1"/>
      <w:numFmt w:val="bullet"/>
      <w:lvlText w:val=""/>
      <w:lvlJc w:val="left"/>
      <w:pPr>
        <w:ind w:left="2880" w:hanging="360"/>
      </w:pPr>
      <w:rPr>
        <w:rFonts w:ascii="Symbol" w:hAnsi="Symbol" w:hint="default"/>
      </w:rPr>
    </w:lvl>
    <w:lvl w:ilvl="4" w:tplc="BE9C1F96" w:tentative="1">
      <w:start w:val="1"/>
      <w:numFmt w:val="bullet"/>
      <w:lvlText w:val="o"/>
      <w:lvlJc w:val="left"/>
      <w:pPr>
        <w:ind w:left="3600" w:hanging="360"/>
      </w:pPr>
      <w:rPr>
        <w:rFonts w:ascii="Courier New" w:hAnsi="Courier New" w:cs="Courier New" w:hint="default"/>
      </w:rPr>
    </w:lvl>
    <w:lvl w:ilvl="5" w:tplc="1212BE54" w:tentative="1">
      <w:start w:val="1"/>
      <w:numFmt w:val="bullet"/>
      <w:lvlText w:val=""/>
      <w:lvlJc w:val="left"/>
      <w:pPr>
        <w:ind w:left="4320" w:hanging="360"/>
      </w:pPr>
      <w:rPr>
        <w:rFonts w:ascii="Wingdings" w:hAnsi="Wingdings" w:hint="default"/>
      </w:rPr>
    </w:lvl>
    <w:lvl w:ilvl="6" w:tplc="235CC814" w:tentative="1">
      <w:start w:val="1"/>
      <w:numFmt w:val="bullet"/>
      <w:lvlText w:val=""/>
      <w:lvlJc w:val="left"/>
      <w:pPr>
        <w:ind w:left="5040" w:hanging="360"/>
      </w:pPr>
      <w:rPr>
        <w:rFonts w:ascii="Symbol" w:hAnsi="Symbol" w:hint="default"/>
      </w:rPr>
    </w:lvl>
    <w:lvl w:ilvl="7" w:tplc="2E6689CE" w:tentative="1">
      <w:start w:val="1"/>
      <w:numFmt w:val="bullet"/>
      <w:lvlText w:val="o"/>
      <w:lvlJc w:val="left"/>
      <w:pPr>
        <w:ind w:left="5760" w:hanging="360"/>
      </w:pPr>
      <w:rPr>
        <w:rFonts w:ascii="Courier New" w:hAnsi="Courier New" w:cs="Courier New" w:hint="default"/>
      </w:rPr>
    </w:lvl>
    <w:lvl w:ilvl="8" w:tplc="480AF8B8" w:tentative="1">
      <w:start w:val="1"/>
      <w:numFmt w:val="bullet"/>
      <w:lvlText w:val=""/>
      <w:lvlJc w:val="left"/>
      <w:pPr>
        <w:ind w:left="6480" w:hanging="360"/>
      </w:pPr>
      <w:rPr>
        <w:rFonts w:ascii="Wingdings" w:hAnsi="Wingdings" w:hint="default"/>
      </w:rPr>
    </w:lvl>
  </w:abstractNum>
  <w:num w:numId="1" w16cid:durableId="860584882">
    <w:abstractNumId w:val="12"/>
  </w:num>
  <w:num w:numId="2" w16cid:durableId="1288393235">
    <w:abstractNumId w:val="13"/>
  </w:num>
  <w:num w:numId="3" w16cid:durableId="661275002">
    <w:abstractNumId w:val="2"/>
  </w:num>
  <w:num w:numId="4" w16cid:durableId="2060203668">
    <w:abstractNumId w:val="7"/>
  </w:num>
  <w:num w:numId="5" w16cid:durableId="1596328216">
    <w:abstractNumId w:val="13"/>
  </w:num>
  <w:num w:numId="6" w16cid:durableId="1001279189">
    <w:abstractNumId w:val="13"/>
  </w:num>
  <w:num w:numId="7" w16cid:durableId="1101874944">
    <w:abstractNumId w:val="13"/>
  </w:num>
  <w:num w:numId="8" w16cid:durableId="145246639">
    <w:abstractNumId w:val="6"/>
  </w:num>
  <w:num w:numId="9" w16cid:durableId="533884512">
    <w:abstractNumId w:val="1"/>
  </w:num>
  <w:num w:numId="10" w16cid:durableId="960455064">
    <w:abstractNumId w:val="15"/>
  </w:num>
  <w:num w:numId="11" w16cid:durableId="1916546001">
    <w:abstractNumId w:val="9"/>
  </w:num>
  <w:num w:numId="12" w16cid:durableId="491486649">
    <w:abstractNumId w:val="0"/>
  </w:num>
  <w:num w:numId="13" w16cid:durableId="2134401309">
    <w:abstractNumId w:val="13"/>
  </w:num>
  <w:num w:numId="14" w16cid:durableId="1392267924">
    <w:abstractNumId w:val="13"/>
  </w:num>
  <w:num w:numId="15" w16cid:durableId="1811946288">
    <w:abstractNumId w:val="13"/>
  </w:num>
  <w:num w:numId="16" w16cid:durableId="1303197214">
    <w:abstractNumId w:val="13"/>
  </w:num>
  <w:num w:numId="17" w16cid:durableId="2093236055">
    <w:abstractNumId w:val="8"/>
  </w:num>
  <w:num w:numId="18" w16cid:durableId="30157544">
    <w:abstractNumId w:val="3"/>
  </w:num>
  <w:num w:numId="19" w16cid:durableId="1163471522">
    <w:abstractNumId w:val="10"/>
  </w:num>
  <w:num w:numId="20" w16cid:durableId="20474130">
    <w:abstractNumId w:val="14"/>
  </w:num>
  <w:num w:numId="21" w16cid:durableId="358623470">
    <w:abstractNumId w:val="4"/>
  </w:num>
  <w:num w:numId="22" w16cid:durableId="832142409">
    <w:abstractNumId w:val="11"/>
  </w:num>
  <w:num w:numId="23" w16cid:durableId="14546400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fullPage" w:percent="71"/>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WDocIDLayout" w:val="2"/>
    <w:docVar w:name="SWDocIDLocation" w:val="1"/>
  </w:docVars>
  <w:rsids>
    <w:rsidRoot w:val="00774707"/>
    <w:rsid w:val="00007B9F"/>
    <w:rsid w:val="00012690"/>
    <w:rsid w:val="00021F43"/>
    <w:rsid w:val="0002619F"/>
    <w:rsid w:val="00026B36"/>
    <w:rsid w:val="000313B2"/>
    <w:rsid w:val="00037D62"/>
    <w:rsid w:val="00043358"/>
    <w:rsid w:val="000438B7"/>
    <w:rsid w:val="0005156D"/>
    <w:rsid w:val="00054819"/>
    <w:rsid w:val="00055E47"/>
    <w:rsid w:val="00057CE8"/>
    <w:rsid w:val="00073D8E"/>
    <w:rsid w:val="000759F1"/>
    <w:rsid w:val="0008170F"/>
    <w:rsid w:val="00082A9A"/>
    <w:rsid w:val="00090FE7"/>
    <w:rsid w:val="00093564"/>
    <w:rsid w:val="00097528"/>
    <w:rsid w:val="000C0F8F"/>
    <w:rsid w:val="000C3457"/>
    <w:rsid w:val="000D3452"/>
    <w:rsid w:val="000D377B"/>
    <w:rsid w:val="000E20FB"/>
    <w:rsid w:val="000E4803"/>
    <w:rsid w:val="000F22A8"/>
    <w:rsid w:val="000F5B88"/>
    <w:rsid w:val="001013FD"/>
    <w:rsid w:val="00103457"/>
    <w:rsid w:val="00104F94"/>
    <w:rsid w:val="00113708"/>
    <w:rsid w:val="0013317B"/>
    <w:rsid w:val="00135E69"/>
    <w:rsid w:val="00137E78"/>
    <w:rsid w:val="00143F03"/>
    <w:rsid w:val="00147DE8"/>
    <w:rsid w:val="00152097"/>
    <w:rsid w:val="00153ED9"/>
    <w:rsid w:val="00153F12"/>
    <w:rsid w:val="001561A4"/>
    <w:rsid w:val="00190091"/>
    <w:rsid w:val="001946DB"/>
    <w:rsid w:val="001A3E3E"/>
    <w:rsid w:val="001B4A03"/>
    <w:rsid w:val="001D136B"/>
    <w:rsid w:val="001D1A3F"/>
    <w:rsid w:val="001D1F9E"/>
    <w:rsid w:val="001D2988"/>
    <w:rsid w:val="001D2A8E"/>
    <w:rsid w:val="001D5FCE"/>
    <w:rsid w:val="001E0C5D"/>
    <w:rsid w:val="001E3F4A"/>
    <w:rsid w:val="001E6B33"/>
    <w:rsid w:val="00214C0D"/>
    <w:rsid w:val="00223C06"/>
    <w:rsid w:val="00236750"/>
    <w:rsid w:val="00245771"/>
    <w:rsid w:val="00245B3A"/>
    <w:rsid w:val="002516CD"/>
    <w:rsid w:val="00253C9B"/>
    <w:rsid w:val="002559AC"/>
    <w:rsid w:val="00257EA3"/>
    <w:rsid w:val="002607FB"/>
    <w:rsid w:val="00265377"/>
    <w:rsid w:val="00265A9E"/>
    <w:rsid w:val="0027290C"/>
    <w:rsid w:val="00282B6F"/>
    <w:rsid w:val="0028569F"/>
    <w:rsid w:val="00286815"/>
    <w:rsid w:val="002875D0"/>
    <w:rsid w:val="002A1879"/>
    <w:rsid w:val="002A7597"/>
    <w:rsid w:val="002C4529"/>
    <w:rsid w:val="002C651E"/>
    <w:rsid w:val="002D6048"/>
    <w:rsid w:val="002E59B6"/>
    <w:rsid w:val="002E633E"/>
    <w:rsid w:val="002F5C9B"/>
    <w:rsid w:val="002F7EA6"/>
    <w:rsid w:val="0030279E"/>
    <w:rsid w:val="0030635E"/>
    <w:rsid w:val="00311EA1"/>
    <w:rsid w:val="003142FA"/>
    <w:rsid w:val="0032149B"/>
    <w:rsid w:val="00323B6E"/>
    <w:rsid w:val="003257B3"/>
    <w:rsid w:val="00334533"/>
    <w:rsid w:val="003409C8"/>
    <w:rsid w:val="003413AC"/>
    <w:rsid w:val="0034307F"/>
    <w:rsid w:val="00356443"/>
    <w:rsid w:val="00360746"/>
    <w:rsid w:val="00361F18"/>
    <w:rsid w:val="00362E4E"/>
    <w:rsid w:val="003652C0"/>
    <w:rsid w:val="003658EE"/>
    <w:rsid w:val="00375A76"/>
    <w:rsid w:val="003777B7"/>
    <w:rsid w:val="00381FAF"/>
    <w:rsid w:val="003834B6"/>
    <w:rsid w:val="003859D2"/>
    <w:rsid w:val="00385BE9"/>
    <w:rsid w:val="0039159C"/>
    <w:rsid w:val="003A2932"/>
    <w:rsid w:val="003A7B3D"/>
    <w:rsid w:val="003B386C"/>
    <w:rsid w:val="003C0610"/>
    <w:rsid w:val="003D0285"/>
    <w:rsid w:val="003D1BD5"/>
    <w:rsid w:val="0040435F"/>
    <w:rsid w:val="0040460F"/>
    <w:rsid w:val="004055AC"/>
    <w:rsid w:val="00413D39"/>
    <w:rsid w:val="0042324E"/>
    <w:rsid w:val="00425DD4"/>
    <w:rsid w:val="00431D72"/>
    <w:rsid w:val="00432A47"/>
    <w:rsid w:val="00436A76"/>
    <w:rsid w:val="004371ED"/>
    <w:rsid w:val="00441D7D"/>
    <w:rsid w:val="00443348"/>
    <w:rsid w:val="00447741"/>
    <w:rsid w:val="0045160B"/>
    <w:rsid w:val="004553E1"/>
    <w:rsid w:val="00464B57"/>
    <w:rsid w:val="004665AB"/>
    <w:rsid w:val="00470357"/>
    <w:rsid w:val="00476670"/>
    <w:rsid w:val="0048210B"/>
    <w:rsid w:val="00484EDA"/>
    <w:rsid w:val="00492537"/>
    <w:rsid w:val="00496E3C"/>
    <w:rsid w:val="004A0804"/>
    <w:rsid w:val="004A1892"/>
    <w:rsid w:val="004A2914"/>
    <w:rsid w:val="004A5D9D"/>
    <w:rsid w:val="004B2553"/>
    <w:rsid w:val="004B29B5"/>
    <w:rsid w:val="004B45D4"/>
    <w:rsid w:val="004D6BFD"/>
    <w:rsid w:val="004D7C5C"/>
    <w:rsid w:val="004E2379"/>
    <w:rsid w:val="004E2AFC"/>
    <w:rsid w:val="004E543C"/>
    <w:rsid w:val="004F06D9"/>
    <w:rsid w:val="004F44B1"/>
    <w:rsid w:val="004F4FAC"/>
    <w:rsid w:val="00500EE4"/>
    <w:rsid w:val="005123AD"/>
    <w:rsid w:val="00517350"/>
    <w:rsid w:val="005177CF"/>
    <w:rsid w:val="00517B75"/>
    <w:rsid w:val="00522750"/>
    <w:rsid w:val="005446A5"/>
    <w:rsid w:val="00546944"/>
    <w:rsid w:val="00564E67"/>
    <w:rsid w:val="00566EC1"/>
    <w:rsid w:val="00566F5C"/>
    <w:rsid w:val="00571154"/>
    <w:rsid w:val="00572CE8"/>
    <w:rsid w:val="0057522F"/>
    <w:rsid w:val="0058396E"/>
    <w:rsid w:val="0058417C"/>
    <w:rsid w:val="00590801"/>
    <w:rsid w:val="00592C55"/>
    <w:rsid w:val="005940B2"/>
    <w:rsid w:val="005B2715"/>
    <w:rsid w:val="005B5E1C"/>
    <w:rsid w:val="005B6575"/>
    <w:rsid w:val="005C1BB4"/>
    <w:rsid w:val="005C3B9F"/>
    <w:rsid w:val="005C663D"/>
    <w:rsid w:val="005C7340"/>
    <w:rsid w:val="005D378D"/>
    <w:rsid w:val="005D42C2"/>
    <w:rsid w:val="005D6602"/>
    <w:rsid w:val="005E68F1"/>
    <w:rsid w:val="005F6775"/>
    <w:rsid w:val="005F74FA"/>
    <w:rsid w:val="0061060F"/>
    <w:rsid w:val="00612A77"/>
    <w:rsid w:val="00613169"/>
    <w:rsid w:val="00615068"/>
    <w:rsid w:val="0061513F"/>
    <w:rsid w:val="00617E55"/>
    <w:rsid w:val="0062131E"/>
    <w:rsid w:val="00622869"/>
    <w:rsid w:val="006357E4"/>
    <w:rsid w:val="0065063B"/>
    <w:rsid w:val="00650CBD"/>
    <w:rsid w:val="0065317F"/>
    <w:rsid w:val="00654EFF"/>
    <w:rsid w:val="00661B83"/>
    <w:rsid w:val="00670693"/>
    <w:rsid w:val="00671294"/>
    <w:rsid w:val="006715AE"/>
    <w:rsid w:val="006717FF"/>
    <w:rsid w:val="00671A68"/>
    <w:rsid w:val="00672E10"/>
    <w:rsid w:val="00677BCB"/>
    <w:rsid w:val="00680BA6"/>
    <w:rsid w:val="006832FF"/>
    <w:rsid w:val="006845B6"/>
    <w:rsid w:val="00685249"/>
    <w:rsid w:val="00685C05"/>
    <w:rsid w:val="00690E51"/>
    <w:rsid w:val="006956E5"/>
    <w:rsid w:val="006A03B7"/>
    <w:rsid w:val="006A383B"/>
    <w:rsid w:val="006A6BD3"/>
    <w:rsid w:val="006B0957"/>
    <w:rsid w:val="006B3733"/>
    <w:rsid w:val="006B5A64"/>
    <w:rsid w:val="006C5198"/>
    <w:rsid w:val="006D01FE"/>
    <w:rsid w:val="006D3E93"/>
    <w:rsid w:val="006D6FA6"/>
    <w:rsid w:val="006E35BC"/>
    <w:rsid w:val="006E37D4"/>
    <w:rsid w:val="006E6F79"/>
    <w:rsid w:val="006E7478"/>
    <w:rsid w:val="006F1BD7"/>
    <w:rsid w:val="006F411A"/>
    <w:rsid w:val="006F6858"/>
    <w:rsid w:val="007000CE"/>
    <w:rsid w:val="00704940"/>
    <w:rsid w:val="007074CB"/>
    <w:rsid w:val="007174E2"/>
    <w:rsid w:val="00725F61"/>
    <w:rsid w:val="007279C9"/>
    <w:rsid w:val="00731AEC"/>
    <w:rsid w:val="00734703"/>
    <w:rsid w:val="0073502F"/>
    <w:rsid w:val="0074041F"/>
    <w:rsid w:val="00744FA2"/>
    <w:rsid w:val="00745FD3"/>
    <w:rsid w:val="00751105"/>
    <w:rsid w:val="00762690"/>
    <w:rsid w:val="00774707"/>
    <w:rsid w:val="0077502C"/>
    <w:rsid w:val="0078248B"/>
    <w:rsid w:val="007847C7"/>
    <w:rsid w:val="00785128"/>
    <w:rsid w:val="0078607B"/>
    <w:rsid w:val="00793949"/>
    <w:rsid w:val="00796B16"/>
    <w:rsid w:val="007B27D7"/>
    <w:rsid w:val="007B74F1"/>
    <w:rsid w:val="007C086E"/>
    <w:rsid w:val="007C3E27"/>
    <w:rsid w:val="007C53C7"/>
    <w:rsid w:val="007C727E"/>
    <w:rsid w:val="007C7711"/>
    <w:rsid w:val="007D0FF4"/>
    <w:rsid w:val="007D7F70"/>
    <w:rsid w:val="007F0AB5"/>
    <w:rsid w:val="007F6B0E"/>
    <w:rsid w:val="008014F1"/>
    <w:rsid w:val="008044EF"/>
    <w:rsid w:val="00805CA8"/>
    <w:rsid w:val="008078F4"/>
    <w:rsid w:val="00814BE7"/>
    <w:rsid w:val="008248C6"/>
    <w:rsid w:val="00835067"/>
    <w:rsid w:val="008354C5"/>
    <w:rsid w:val="0083570B"/>
    <w:rsid w:val="00845F96"/>
    <w:rsid w:val="00847598"/>
    <w:rsid w:val="00847AD5"/>
    <w:rsid w:val="0085392F"/>
    <w:rsid w:val="00855A03"/>
    <w:rsid w:val="00856AA6"/>
    <w:rsid w:val="00862771"/>
    <w:rsid w:val="00867086"/>
    <w:rsid w:val="008712BD"/>
    <w:rsid w:val="008772FD"/>
    <w:rsid w:val="00881382"/>
    <w:rsid w:val="0088218C"/>
    <w:rsid w:val="00882B59"/>
    <w:rsid w:val="00885075"/>
    <w:rsid w:val="00887E07"/>
    <w:rsid w:val="008920C6"/>
    <w:rsid w:val="008954A2"/>
    <w:rsid w:val="00896534"/>
    <w:rsid w:val="008A6FE4"/>
    <w:rsid w:val="008A7398"/>
    <w:rsid w:val="008B4A4F"/>
    <w:rsid w:val="008B5D80"/>
    <w:rsid w:val="008C3B6E"/>
    <w:rsid w:val="008C5B19"/>
    <w:rsid w:val="008D283B"/>
    <w:rsid w:val="008D6199"/>
    <w:rsid w:val="008E18D9"/>
    <w:rsid w:val="008E7C16"/>
    <w:rsid w:val="009059A5"/>
    <w:rsid w:val="009104F3"/>
    <w:rsid w:val="0092092A"/>
    <w:rsid w:val="009238B9"/>
    <w:rsid w:val="00923C84"/>
    <w:rsid w:val="009253F8"/>
    <w:rsid w:val="00930269"/>
    <w:rsid w:val="0093075D"/>
    <w:rsid w:val="00930F5C"/>
    <w:rsid w:val="00937659"/>
    <w:rsid w:val="00940B62"/>
    <w:rsid w:val="00941611"/>
    <w:rsid w:val="00941DDB"/>
    <w:rsid w:val="009422F1"/>
    <w:rsid w:val="00946BC1"/>
    <w:rsid w:val="00957B30"/>
    <w:rsid w:val="00963DCB"/>
    <w:rsid w:val="009660A5"/>
    <w:rsid w:val="00966A6B"/>
    <w:rsid w:val="009714BF"/>
    <w:rsid w:val="00976C0B"/>
    <w:rsid w:val="00977941"/>
    <w:rsid w:val="00992B10"/>
    <w:rsid w:val="0099701C"/>
    <w:rsid w:val="009B528F"/>
    <w:rsid w:val="009C1325"/>
    <w:rsid w:val="009C21A5"/>
    <w:rsid w:val="009C31FC"/>
    <w:rsid w:val="009D336A"/>
    <w:rsid w:val="009F0330"/>
    <w:rsid w:val="00A13A0F"/>
    <w:rsid w:val="00A35C30"/>
    <w:rsid w:val="00A35F00"/>
    <w:rsid w:val="00A4113F"/>
    <w:rsid w:val="00A51D8E"/>
    <w:rsid w:val="00A54332"/>
    <w:rsid w:val="00A57A81"/>
    <w:rsid w:val="00A61196"/>
    <w:rsid w:val="00A63B03"/>
    <w:rsid w:val="00A6500C"/>
    <w:rsid w:val="00A71693"/>
    <w:rsid w:val="00A75E01"/>
    <w:rsid w:val="00A77FF8"/>
    <w:rsid w:val="00A81262"/>
    <w:rsid w:val="00A84098"/>
    <w:rsid w:val="00A91F8D"/>
    <w:rsid w:val="00AA4AE6"/>
    <w:rsid w:val="00AA59C4"/>
    <w:rsid w:val="00AB0158"/>
    <w:rsid w:val="00AB4CC7"/>
    <w:rsid w:val="00AB4F70"/>
    <w:rsid w:val="00AC3AAD"/>
    <w:rsid w:val="00AC5FC5"/>
    <w:rsid w:val="00AC6C49"/>
    <w:rsid w:val="00AD03ED"/>
    <w:rsid w:val="00AE1A73"/>
    <w:rsid w:val="00AE3F20"/>
    <w:rsid w:val="00AE41BE"/>
    <w:rsid w:val="00AE531E"/>
    <w:rsid w:val="00AE5457"/>
    <w:rsid w:val="00AF0D1F"/>
    <w:rsid w:val="00AF3981"/>
    <w:rsid w:val="00AF495F"/>
    <w:rsid w:val="00B0156B"/>
    <w:rsid w:val="00B03814"/>
    <w:rsid w:val="00B06133"/>
    <w:rsid w:val="00B10DB4"/>
    <w:rsid w:val="00B11EF5"/>
    <w:rsid w:val="00B2566A"/>
    <w:rsid w:val="00B369C7"/>
    <w:rsid w:val="00B4365B"/>
    <w:rsid w:val="00B45968"/>
    <w:rsid w:val="00B45A34"/>
    <w:rsid w:val="00B46135"/>
    <w:rsid w:val="00B617E9"/>
    <w:rsid w:val="00B6289B"/>
    <w:rsid w:val="00B648E0"/>
    <w:rsid w:val="00B64B43"/>
    <w:rsid w:val="00B717C6"/>
    <w:rsid w:val="00B73DF7"/>
    <w:rsid w:val="00B74897"/>
    <w:rsid w:val="00B756E4"/>
    <w:rsid w:val="00B77980"/>
    <w:rsid w:val="00B81186"/>
    <w:rsid w:val="00B92ACA"/>
    <w:rsid w:val="00B949EB"/>
    <w:rsid w:val="00B96FC4"/>
    <w:rsid w:val="00BA34D5"/>
    <w:rsid w:val="00BB287B"/>
    <w:rsid w:val="00BB5D10"/>
    <w:rsid w:val="00BC1375"/>
    <w:rsid w:val="00BC1BAF"/>
    <w:rsid w:val="00BD3AFD"/>
    <w:rsid w:val="00BE33CB"/>
    <w:rsid w:val="00BE5B8F"/>
    <w:rsid w:val="00BF1978"/>
    <w:rsid w:val="00BF19F1"/>
    <w:rsid w:val="00BF6A3C"/>
    <w:rsid w:val="00BF77B7"/>
    <w:rsid w:val="00C048C8"/>
    <w:rsid w:val="00C06EF6"/>
    <w:rsid w:val="00C0732F"/>
    <w:rsid w:val="00C11E9B"/>
    <w:rsid w:val="00C21642"/>
    <w:rsid w:val="00C258D2"/>
    <w:rsid w:val="00C346B4"/>
    <w:rsid w:val="00C37766"/>
    <w:rsid w:val="00C406B5"/>
    <w:rsid w:val="00C41024"/>
    <w:rsid w:val="00C41E9C"/>
    <w:rsid w:val="00C619EA"/>
    <w:rsid w:val="00C62528"/>
    <w:rsid w:val="00C650AD"/>
    <w:rsid w:val="00C700EB"/>
    <w:rsid w:val="00C7520D"/>
    <w:rsid w:val="00C752F0"/>
    <w:rsid w:val="00C8565D"/>
    <w:rsid w:val="00C86F52"/>
    <w:rsid w:val="00C92755"/>
    <w:rsid w:val="00C92A8F"/>
    <w:rsid w:val="00C9471C"/>
    <w:rsid w:val="00CA7967"/>
    <w:rsid w:val="00CA7C71"/>
    <w:rsid w:val="00CB3E4C"/>
    <w:rsid w:val="00CC042A"/>
    <w:rsid w:val="00CC2B1B"/>
    <w:rsid w:val="00CC3955"/>
    <w:rsid w:val="00CC4398"/>
    <w:rsid w:val="00CC7A6A"/>
    <w:rsid w:val="00CD0189"/>
    <w:rsid w:val="00CD2169"/>
    <w:rsid w:val="00CD56ED"/>
    <w:rsid w:val="00CE43F1"/>
    <w:rsid w:val="00CE6733"/>
    <w:rsid w:val="00CF262E"/>
    <w:rsid w:val="00CF517C"/>
    <w:rsid w:val="00D1148B"/>
    <w:rsid w:val="00D1334A"/>
    <w:rsid w:val="00D13956"/>
    <w:rsid w:val="00D267CD"/>
    <w:rsid w:val="00D42CFC"/>
    <w:rsid w:val="00D43087"/>
    <w:rsid w:val="00D43443"/>
    <w:rsid w:val="00D4504C"/>
    <w:rsid w:val="00D505A6"/>
    <w:rsid w:val="00D564AC"/>
    <w:rsid w:val="00D6084A"/>
    <w:rsid w:val="00D63157"/>
    <w:rsid w:val="00D63C21"/>
    <w:rsid w:val="00D70070"/>
    <w:rsid w:val="00D81608"/>
    <w:rsid w:val="00D90F71"/>
    <w:rsid w:val="00D91A0E"/>
    <w:rsid w:val="00D949A0"/>
    <w:rsid w:val="00D97816"/>
    <w:rsid w:val="00DA18BC"/>
    <w:rsid w:val="00DB2413"/>
    <w:rsid w:val="00DB545E"/>
    <w:rsid w:val="00DB6099"/>
    <w:rsid w:val="00DC217A"/>
    <w:rsid w:val="00DC2572"/>
    <w:rsid w:val="00DC716A"/>
    <w:rsid w:val="00DD0771"/>
    <w:rsid w:val="00DD0E4F"/>
    <w:rsid w:val="00DD2D09"/>
    <w:rsid w:val="00DD35F7"/>
    <w:rsid w:val="00DE128B"/>
    <w:rsid w:val="00DE1A1D"/>
    <w:rsid w:val="00DE2D53"/>
    <w:rsid w:val="00DE41F2"/>
    <w:rsid w:val="00DF07AE"/>
    <w:rsid w:val="00DF35C2"/>
    <w:rsid w:val="00DF5463"/>
    <w:rsid w:val="00DF64E6"/>
    <w:rsid w:val="00E023A0"/>
    <w:rsid w:val="00E17FC1"/>
    <w:rsid w:val="00E221FA"/>
    <w:rsid w:val="00E35DB8"/>
    <w:rsid w:val="00E500C0"/>
    <w:rsid w:val="00E50C76"/>
    <w:rsid w:val="00E53EA3"/>
    <w:rsid w:val="00E56F00"/>
    <w:rsid w:val="00E57C38"/>
    <w:rsid w:val="00E60009"/>
    <w:rsid w:val="00E634AD"/>
    <w:rsid w:val="00E76A55"/>
    <w:rsid w:val="00E77BF9"/>
    <w:rsid w:val="00E8006C"/>
    <w:rsid w:val="00E8406D"/>
    <w:rsid w:val="00E94AF9"/>
    <w:rsid w:val="00E95402"/>
    <w:rsid w:val="00E96E53"/>
    <w:rsid w:val="00EA20C6"/>
    <w:rsid w:val="00EA6B46"/>
    <w:rsid w:val="00EB0CF6"/>
    <w:rsid w:val="00EB4C04"/>
    <w:rsid w:val="00EB5576"/>
    <w:rsid w:val="00EC2D1D"/>
    <w:rsid w:val="00EC7C51"/>
    <w:rsid w:val="00EE7B60"/>
    <w:rsid w:val="00EF3BB1"/>
    <w:rsid w:val="00EF50C1"/>
    <w:rsid w:val="00F072FB"/>
    <w:rsid w:val="00F07ED4"/>
    <w:rsid w:val="00F12F79"/>
    <w:rsid w:val="00F20367"/>
    <w:rsid w:val="00F21BE8"/>
    <w:rsid w:val="00F247E2"/>
    <w:rsid w:val="00F34DC5"/>
    <w:rsid w:val="00F407C1"/>
    <w:rsid w:val="00F41D08"/>
    <w:rsid w:val="00F52E18"/>
    <w:rsid w:val="00F545E8"/>
    <w:rsid w:val="00F54FF3"/>
    <w:rsid w:val="00F5773B"/>
    <w:rsid w:val="00F64097"/>
    <w:rsid w:val="00F66E81"/>
    <w:rsid w:val="00F7656C"/>
    <w:rsid w:val="00F77809"/>
    <w:rsid w:val="00F80816"/>
    <w:rsid w:val="00F83B51"/>
    <w:rsid w:val="00F83E98"/>
    <w:rsid w:val="00F8580C"/>
    <w:rsid w:val="00F86E5D"/>
    <w:rsid w:val="00F93688"/>
    <w:rsid w:val="00F95451"/>
    <w:rsid w:val="00FA3395"/>
    <w:rsid w:val="00FB2C03"/>
    <w:rsid w:val="00FD1FFF"/>
    <w:rsid w:val="00FE1CB6"/>
    <w:rsid w:val="00FE4CB0"/>
    <w:rsid w:val="00FE675B"/>
    <w:rsid w:val="2D7FEEE9"/>
    <w:rsid w:val="3A6AD63C"/>
    <w:rsid w:val="572398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9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0108"/>
    <w:rPr>
      <w:rFonts w:eastAsia="SimSun" w:cs="Times New Roman"/>
      <w:szCs w:val="24"/>
      <w:lang w:eastAsia="zh-CN"/>
    </w:rPr>
  </w:style>
  <w:style w:type="paragraph" w:styleId="Heading1">
    <w:name w:val="heading 1"/>
    <w:basedOn w:val="Normal"/>
    <w:next w:val="Normal"/>
    <w:link w:val="Heading1Char"/>
    <w:uiPriority w:val="9"/>
    <w:qFormat/>
    <w:rsid w:val="00D6044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60442"/>
    <w:pPr>
      <w:keepNext/>
      <w:keepLines/>
      <w:spacing w:before="40"/>
      <w:ind w:left="720"/>
      <w:outlineLvl w:val="1"/>
    </w:pPr>
    <w:rPr>
      <w:rFonts w:asciiTheme="majorHAnsi" w:eastAsiaTheme="majorEastAsia" w:hAnsiTheme="majorHAnsi" w:cstheme="majorBidi"/>
      <w:color w:val="365F91" w:themeColor="accent1" w:themeShade="BF"/>
      <w:sz w:val="26"/>
      <w:szCs w:val="26"/>
      <w:lang w:eastAsia="en-US"/>
    </w:rPr>
  </w:style>
  <w:style w:type="paragraph" w:styleId="Heading3">
    <w:name w:val="heading 3"/>
    <w:basedOn w:val="Normal"/>
    <w:next w:val="Normal"/>
    <w:link w:val="Heading3Char"/>
    <w:uiPriority w:val="9"/>
    <w:semiHidden/>
    <w:unhideWhenUsed/>
    <w:qFormat/>
    <w:rsid w:val="00D60442"/>
    <w:pPr>
      <w:keepNext/>
      <w:keepLines/>
      <w:spacing w:before="40"/>
      <w:ind w:left="1440"/>
      <w:outlineLvl w:val="2"/>
    </w:pPr>
    <w:rPr>
      <w:rFonts w:asciiTheme="majorHAnsi" w:eastAsiaTheme="majorEastAsia" w:hAnsiTheme="majorHAnsi" w:cstheme="majorBidi"/>
      <w:color w:val="243F60" w:themeColor="accent1" w:themeShade="7F"/>
      <w:lang w:eastAsia="en-US"/>
    </w:rPr>
  </w:style>
  <w:style w:type="paragraph" w:styleId="Heading4">
    <w:name w:val="heading 4"/>
    <w:basedOn w:val="Normal"/>
    <w:next w:val="Normal"/>
    <w:link w:val="Heading4Char"/>
    <w:uiPriority w:val="9"/>
    <w:semiHidden/>
    <w:unhideWhenUsed/>
    <w:qFormat/>
    <w:rsid w:val="00D60442"/>
    <w:pPr>
      <w:keepNext/>
      <w:keepLines/>
      <w:spacing w:before="40"/>
      <w:ind w:left="2160"/>
      <w:outlineLvl w:val="3"/>
    </w:pPr>
    <w:rPr>
      <w:rFonts w:asciiTheme="majorHAnsi" w:eastAsiaTheme="majorEastAsia" w:hAnsiTheme="majorHAnsi" w:cstheme="majorBidi"/>
      <w:i/>
      <w:iCs/>
      <w:color w:val="365F91" w:themeColor="accent1" w:themeShade="BF"/>
      <w:lang w:eastAsia="en-US"/>
    </w:rPr>
  </w:style>
  <w:style w:type="paragraph" w:styleId="Heading5">
    <w:name w:val="heading 5"/>
    <w:basedOn w:val="Normal"/>
    <w:next w:val="Normal"/>
    <w:link w:val="Heading5Char"/>
    <w:uiPriority w:val="9"/>
    <w:semiHidden/>
    <w:unhideWhenUsed/>
    <w:qFormat/>
    <w:rsid w:val="00D60442"/>
    <w:pPr>
      <w:keepNext/>
      <w:keepLines/>
      <w:spacing w:before="40"/>
      <w:ind w:left="2880"/>
      <w:outlineLvl w:val="4"/>
    </w:pPr>
    <w:rPr>
      <w:rFonts w:asciiTheme="majorHAnsi" w:eastAsiaTheme="majorEastAsia" w:hAnsiTheme="majorHAnsi" w:cstheme="majorBidi"/>
      <w:color w:val="365F91" w:themeColor="accent1" w:themeShade="BF"/>
      <w:lang w:eastAsia="en-US"/>
    </w:rPr>
  </w:style>
  <w:style w:type="paragraph" w:styleId="Heading6">
    <w:name w:val="heading 6"/>
    <w:basedOn w:val="Normal"/>
    <w:next w:val="Normal"/>
    <w:link w:val="Heading6Char"/>
    <w:uiPriority w:val="9"/>
    <w:semiHidden/>
    <w:unhideWhenUsed/>
    <w:qFormat/>
    <w:rsid w:val="00D60442"/>
    <w:pPr>
      <w:keepNext/>
      <w:keepLines/>
      <w:spacing w:before="40"/>
      <w:ind w:left="3600"/>
      <w:outlineLvl w:val="5"/>
    </w:pPr>
    <w:rPr>
      <w:rFonts w:asciiTheme="majorHAnsi" w:eastAsiaTheme="majorEastAsia" w:hAnsiTheme="majorHAnsi" w:cstheme="majorBidi"/>
      <w:color w:val="243F60" w:themeColor="accent1" w:themeShade="7F"/>
      <w:lang w:eastAsia="en-US"/>
    </w:rPr>
  </w:style>
  <w:style w:type="paragraph" w:styleId="Heading7">
    <w:name w:val="heading 7"/>
    <w:basedOn w:val="Normal"/>
    <w:next w:val="Normal"/>
    <w:link w:val="Heading7Char"/>
    <w:uiPriority w:val="9"/>
    <w:semiHidden/>
    <w:unhideWhenUsed/>
    <w:qFormat/>
    <w:rsid w:val="00D60442"/>
    <w:pPr>
      <w:keepNext/>
      <w:keepLines/>
      <w:spacing w:before="40"/>
      <w:ind w:left="4320"/>
      <w:outlineLvl w:val="6"/>
    </w:pPr>
    <w:rPr>
      <w:rFonts w:asciiTheme="majorHAnsi" w:eastAsiaTheme="majorEastAsia" w:hAnsiTheme="majorHAnsi" w:cstheme="majorBidi"/>
      <w:i/>
      <w:iCs/>
      <w:color w:val="243F60" w:themeColor="accent1" w:themeShade="7F"/>
      <w:lang w:eastAsia="en-US"/>
    </w:rPr>
  </w:style>
  <w:style w:type="paragraph" w:styleId="Heading8">
    <w:name w:val="heading 8"/>
    <w:basedOn w:val="Normal"/>
    <w:next w:val="Normal"/>
    <w:link w:val="Heading8Char"/>
    <w:uiPriority w:val="9"/>
    <w:semiHidden/>
    <w:unhideWhenUsed/>
    <w:qFormat/>
    <w:rsid w:val="00D60442"/>
    <w:pPr>
      <w:keepNext/>
      <w:keepLines/>
      <w:spacing w:before="40"/>
      <w:ind w:left="50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D60442"/>
    <w:pPr>
      <w:keepNext/>
      <w:keepLines/>
      <w:spacing w:before="40"/>
      <w:ind w:left="576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20B8A"/>
    <w:pPr>
      <w:widowControl w:val="0"/>
      <w:spacing w:after="240"/>
      <w:ind w:firstLine="720"/>
    </w:pPr>
  </w:style>
  <w:style w:type="character" w:customStyle="1" w:styleId="BodyTextChar">
    <w:name w:val="Body Text Char"/>
    <w:basedOn w:val="DefaultParagraphFont"/>
    <w:link w:val="BodyText"/>
    <w:rsid w:val="00C036EA"/>
    <w:rPr>
      <w:rFonts w:cs="Times New Roman"/>
      <w:szCs w:val="24"/>
    </w:rPr>
  </w:style>
  <w:style w:type="paragraph" w:customStyle="1" w:styleId="BodyTextContinued">
    <w:name w:val="Body Text Continued"/>
    <w:basedOn w:val="BodyText"/>
    <w:next w:val="BodyText"/>
    <w:rsid w:val="00D20B8A"/>
    <w:pPr>
      <w:ind w:firstLine="0"/>
    </w:pPr>
    <w:rPr>
      <w:szCs w:val="20"/>
    </w:rPr>
  </w:style>
  <w:style w:type="paragraph" w:styleId="Quote">
    <w:name w:val="Quote"/>
    <w:basedOn w:val="Normal"/>
    <w:next w:val="BodyTextContinued"/>
    <w:link w:val="QuoteChar"/>
    <w:qFormat/>
    <w:rsid w:val="00D20B8A"/>
    <w:pPr>
      <w:spacing w:after="240"/>
      <w:ind w:left="1440" w:right="1440"/>
    </w:pPr>
    <w:rPr>
      <w:szCs w:val="20"/>
    </w:rPr>
  </w:style>
  <w:style w:type="character" w:customStyle="1" w:styleId="QuoteChar">
    <w:name w:val="Quote Char"/>
    <w:basedOn w:val="DefaultParagraphFont"/>
    <w:link w:val="Quote"/>
    <w:rsid w:val="00C036EA"/>
    <w:rPr>
      <w:rFonts w:cs="Times New Roman"/>
      <w:szCs w:val="20"/>
    </w:rPr>
  </w:style>
  <w:style w:type="paragraph" w:styleId="Header">
    <w:name w:val="header"/>
    <w:basedOn w:val="Normal"/>
    <w:link w:val="HeaderChar"/>
    <w:rsid w:val="00D20B8A"/>
    <w:pPr>
      <w:tabs>
        <w:tab w:val="center" w:pos="4680"/>
        <w:tab w:val="right" w:pos="9360"/>
      </w:tabs>
    </w:pPr>
  </w:style>
  <w:style w:type="character" w:customStyle="1" w:styleId="HeaderChar">
    <w:name w:val="Header Char"/>
    <w:basedOn w:val="DefaultParagraphFont"/>
    <w:link w:val="Header"/>
    <w:rsid w:val="00C036EA"/>
    <w:rPr>
      <w:rFonts w:cs="Times New Roman"/>
      <w:szCs w:val="24"/>
    </w:rPr>
  </w:style>
  <w:style w:type="paragraph" w:styleId="Footer">
    <w:name w:val="footer"/>
    <w:aliases w:val="ft"/>
    <w:basedOn w:val="Normal"/>
    <w:link w:val="FooterChar"/>
    <w:uiPriority w:val="99"/>
    <w:rsid w:val="00D20B8A"/>
    <w:pPr>
      <w:tabs>
        <w:tab w:val="center" w:pos="4680"/>
        <w:tab w:val="right" w:pos="9360"/>
      </w:tabs>
    </w:pPr>
  </w:style>
  <w:style w:type="character" w:customStyle="1" w:styleId="FooterChar">
    <w:name w:val="Footer Char"/>
    <w:aliases w:val="ft Char"/>
    <w:basedOn w:val="DefaultParagraphFont"/>
    <w:link w:val="Footer"/>
    <w:uiPriority w:val="99"/>
    <w:rsid w:val="00C036EA"/>
    <w:rPr>
      <w:rFonts w:cs="Times New Roman"/>
      <w:szCs w:val="24"/>
    </w:rPr>
  </w:style>
  <w:style w:type="character" w:styleId="PageNumber">
    <w:name w:val="page number"/>
    <w:basedOn w:val="DefaultParagraphFont"/>
    <w:rsid w:val="00D20B8A"/>
  </w:style>
  <w:style w:type="paragraph" w:styleId="Title">
    <w:name w:val="Title"/>
    <w:basedOn w:val="Normal"/>
    <w:next w:val="BodyText"/>
    <w:link w:val="TitleChar"/>
    <w:qFormat/>
    <w:rsid w:val="005A0108"/>
    <w:pPr>
      <w:spacing w:before="240" w:after="120"/>
      <w:jc w:val="center"/>
      <w:outlineLvl w:val="0"/>
    </w:pPr>
    <w:rPr>
      <w:rFonts w:cs="Arial"/>
      <w:b/>
      <w:bCs/>
      <w:caps/>
      <w:kern w:val="28"/>
      <w:szCs w:val="32"/>
      <w:u w:val="single"/>
    </w:rPr>
  </w:style>
  <w:style w:type="character" w:customStyle="1" w:styleId="TitleChar">
    <w:name w:val="Title Char"/>
    <w:basedOn w:val="DefaultParagraphFont"/>
    <w:link w:val="Title"/>
    <w:rsid w:val="005A0108"/>
    <w:rPr>
      <w:rFonts w:eastAsia="SimSun" w:cs="Arial"/>
      <w:b/>
      <w:bCs/>
      <w:caps/>
      <w:kern w:val="28"/>
      <w:szCs w:val="32"/>
      <w:u w:val="single"/>
      <w:lang w:eastAsia="zh-CN"/>
    </w:rPr>
  </w:style>
  <w:style w:type="paragraph" w:styleId="BlockText">
    <w:name w:val="Block Text"/>
    <w:aliases w:val="Block Indent"/>
    <w:basedOn w:val="Normal"/>
    <w:rsid w:val="005A0108"/>
    <w:pPr>
      <w:spacing w:before="120" w:after="120"/>
      <w:ind w:left="1440" w:right="1440"/>
    </w:pPr>
  </w:style>
  <w:style w:type="paragraph" w:styleId="Closing">
    <w:name w:val="Closing"/>
    <w:basedOn w:val="Normal"/>
    <w:link w:val="ClosingChar"/>
    <w:rsid w:val="005A0108"/>
    <w:pPr>
      <w:ind w:left="4320"/>
    </w:pPr>
  </w:style>
  <w:style w:type="character" w:customStyle="1" w:styleId="ClosingChar">
    <w:name w:val="Closing Char"/>
    <w:basedOn w:val="DefaultParagraphFont"/>
    <w:link w:val="Closing"/>
    <w:rsid w:val="005A0108"/>
    <w:rPr>
      <w:rFonts w:eastAsia="SimSun" w:cs="Times New Roman"/>
      <w:szCs w:val="24"/>
      <w:lang w:eastAsia="zh-CN"/>
    </w:rPr>
  </w:style>
  <w:style w:type="paragraph" w:styleId="Signature">
    <w:name w:val="Signature"/>
    <w:basedOn w:val="Normal"/>
    <w:link w:val="SignatureChar"/>
    <w:rsid w:val="005A0108"/>
    <w:pPr>
      <w:ind w:left="4320"/>
    </w:pPr>
  </w:style>
  <w:style w:type="character" w:customStyle="1" w:styleId="SignatureChar">
    <w:name w:val="Signature Char"/>
    <w:basedOn w:val="DefaultParagraphFont"/>
    <w:link w:val="Signature"/>
    <w:rsid w:val="005A0108"/>
    <w:rPr>
      <w:rFonts w:eastAsia="SimSun" w:cs="Times New Roman"/>
      <w:szCs w:val="24"/>
      <w:lang w:eastAsia="zh-CN"/>
    </w:rPr>
  </w:style>
  <w:style w:type="paragraph" w:styleId="Subtitle">
    <w:name w:val="Subtitle"/>
    <w:basedOn w:val="Normal"/>
    <w:link w:val="SubtitleChar"/>
    <w:qFormat/>
    <w:rsid w:val="005A0108"/>
    <w:pPr>
      <w:spacing w:before="120" w:after="240"/>
      <w:outlineLvl w:val="1"/>
    </w:pPr>
    <w:rPr>
      <w:rFonts w:cs="Arial"/>
      <w:b/>
    </w:rPr>
  </w:style>
  <w:style w:type="character" w:customStyle="1" w:styleId="SubtitleChar">
    <w:name w:val="Subtitle Char"/>
    <w:basedOn w:val="DefaultParagraphFont"/>
    <w:link w:val="Subtitle"/>
    <w:rsid w:val="005A0108"/>
    <w:rPr>
      <w:rFonts w:eastAsia="SimSun" w:cs="Arial"/>
      <w:b/>
      <w:szCs w:val="24"/>
      <w:lang w:eastAsia="zh-CN"/>
    </w:rPr>
  </w:style>
  <w:style w:type="paragraph" w:styleId="EnvelopeAddress">
    <w:name w:val="envelope address"/>
    <w:basedOn w:val="Normal"/>
    <w:rsid w:val="005A0108"/>
    <w:pPr>
      <w:framePr w:w="7920" w:h="1980" w:hRule="exact" w:hSpace="180" w:wrap="auto" w:hAnchor="page" w:xAlign="center" w:yAlign="bottom"/>
      <w:ind w:left="2880"/>
    </w:pPr>
    <w:rPr>
      <w:rFonts w:cs="Arial"/>
    </w:rPr>
  </w:style>
  <w:style w:type="paragraph" w:styleId="EnvelopeReturn">
    <w:name w:val="envelope return"/>
    <w:basedOn w:val="Normal"/>
    <w:rsid w:val="005A0108"/>
    <w:rPr>
      <w:rFonts w:cs="Arial"/>
      <w:sz w:val="20"/>
      <w:szCs w:val="20"/>
    </w:rPr>
  </w:style>
  <w:style w:type="paragraph" w:customStyle="1" w:styleId="BodyTextDSFirstLine10Justified">
    <w:name w:val="Body Text DS First Line (1.0) Justified"/>
    <w:basedOn w:val="Normal"/>
    <w:rsid w:val="005A0108"/>
    <w:pPr>
      <w:spacing w:line="480" w:lineRule="auto"/>
      <w:ind w:firstLine="1440"/>
      <w:jc w:val="both"/>
    </w:pPr>
    <w:rPr>
      <w:rFonts w:eastAsia="Times New Roman"/>
      <w:lang w:eastAsia="en-US"/>
    </w:rPr>
  </w:style>
  <w:style w:type="paragraph" w:customStyle="1" w:styleId="BodyTextSSFirstLine5Justified">
    <w:name w:val="Body Text SS First Line (.5) Justified"/>
    <w:basedOn w:val="Normal"/>
    <w:rsid w:val="005A0108"/>
    <w:pPr>
      <w:spacing w:before="120" w:after="120"/>
      <w:ind w:firstLine="720"/>
      <w:jc w:val="both"/>
    </w:pPr>
  </w:style>
  <w:style w:type="paragraph" w:customStyle="1" w:styleId="BodyTextDSFirstLine5Justified">
    <w:name w:val="Body Text DS First Line (.5) Justified"/>
    <w:basedOn w:val="Normal"/>
    <w:rsid w:val="005A0108"/>
    <w:pPr>
      <w:spacing w:line="480" w:lineRule="auto"/>
      <w:ind w:firstLine="720"/>
      <w:jc w:val="both"/>
    </w:pPr>
  </w:style>
  <w:style w:type="paragraph" w:customStyle="1" w:styleId="BodyTextDSFirstLine5">
    <w:name w:val="Body Text DS First Line (.5)"/>
    <w:basedOn w:val="Normal"/>
    <w:rsid w:val="005A0108"/>
    <w:pPr>
      <w:spacing w:line="480" w:lineRule="auto"/>
      <w:ind w:firstLine="720"/>
    </w:pPr>
  </w:style>
  <w:style w:type="paragraph" w:customStyle="1" w:styleId="BodyTextDSFirstLine10">
    <w:name w:val="Body Text DS First Line (1.0)"/>
    <w:basedOn w:val="Normal"/>
    <w:rsid w:val="005A0108"/>
    <w:pPr>
      <w:spacing w:line="480" w:lineRule="auto"/>
      <w:ind w:firstLine="1440"/>
    </w:pPr>
  </w:style>
  <w:style w:type="paragraph" w:customStyle="1" w:styleId="BodyTextSSFirstLine5">
    <w:name w:val="Body Text SS First Line (.5 )"/>
    <w:basedOn w:val="Normal"/>
    <w:rsid w:val="005A0108"/>
    <w:pPr>
      <w:spacing w:before="120" w:after="120"/>
      <w:ind w:firstLine="720"/>
    </w:pPr>
  </w:style>
  <w:style w:type="paragraph" w:customStyle="1" w:styleId="BodyTextSSFirstLine10">
    <w:name w:val="Body Text SS First Line (1.0)"/>
    <w:basedOn w:val="Normal"/>
    <w:rsid w:val="005A0108"/>
    <w:pPr>
      <w:spacing w:before="120" w:after="120"/>
      <w:ind w:firstLine="1440"/>
    </w:pPr>
  </w:style>
  <w:style w:type="paragraph" w:customStyle="1" w:styleId="BodyTextSSFirstLine10Justified">
    <w:name w:val="Body Text SS First Line (1.0) Justified"/>
    <w:basedOn w:val="Normal"/>
    <w:rsid w:val="005A0108"/>
    <w:pPr>
      <w:spacing w:before="120" w:after="120"/>
      <w:ind w:firstLine="1440"/>
      <w:jc w:val="both"/>
    </w:pPr>
    <w:rPr>
      <w:rFonts w:eastAsia="Times New Roman"/>
      <w:lang w:eastAsia="en-US"/>
    </w:rPr>
  </w:style>
  <w:style w:type="paragraph" w:customStyle="1" w:styleId="Heading">
    <w:name w:val="Heading"/>
    <w:basedOn w:val="Normal"/>
    <w:rsid w:val="005A0108"/>
    <w:pPr>
      <w:spacing w:after="240"/>
      <w:jc w:val="center"/>
    </w:pPr>
    <w:rPr>
      <w:b/>
      <w:caps/>
      <w:u w:val="single"/>
    </w:rPr>
  </w:style>
  <w:style w:type="paragraph" w:customStyle="1" w:styleId="BodyTextLevel3">
    <w:name w:val="Body Text Level 3"/>
    <w:basedOn w:val="BodyText"/>
    <w:rsid w:val="005A0108"/>
    <w:pPr>
      <w:widowControl/>
      <w:spacing w:before="120" w:after="120"/>
      <w:ind w:firstLine="2160"/>
      <w:jc w:val="both"/>
    </w:pPr>
  </w:style>
  <w:style w:type="paragraph" w:customStyle="1" w:styleId="Answer">
    <w:name w:val="Answer"/>
    <w:basedOn w:val="Answer1"/>
    <w:next w:val="Answer2"/>
    <w:link w:val="AnswerChar"/>
    <w:rsid w:val="005A0108"/>
    <w:pPr>
      <w:ind w:left="720" w:hanging="720"/>
      <w:jc w:val="both"/>
    </w:pPr>
    <w:rPr>
      <w:rFonts w:eastAsia="MS Mincho"/>
      <w:bCs/>
    </w:rPr>
  </w:style>
  <w:style w:type="paragraph" w:customStyle="1" w:styleId="Answer1">
    <w:name w:val="Answer 1"/>
    <w:basedOn w:val="Normal"/>
    <w:next w:val="BodyText"/>
    <w:link w:val="Answer1Char"/>
    <w:rsid w:val="005A0108"/>
    <w:pPr>
      <w:numPr>
        <w:numId w:val="1"/>
      </w:numPr>
      <w:spacing w:before="240" w:after="240" w:line="480" w:lineRule="auto"/>
      <w:outlineLvl w:val="0"/>
    </w:pPr>
    <w:rPr>
      <w:rFonts w:eastAsia="Times New Roman"/>
    </w:rPr>
  </w:style>
  <w:style w:type="paragraph" w:customStyle="1" w:styleId="Answer2">
    <w:name w:val="Answer 2"/>
    <w:basedOn w:val="Normal"/>
    <w:next w:val="BodyText"/>
    <w:link w:val="Answer2Char"/>
    <w:rsid w:val="005A0108"/>
    <w:pPr>
      <w:numPr>
        <w:ilvl w:val="1"/>
        <w:numId w:val="1"/>
      </w:numPr>
      <w:tabs>
        <w:tab w:val="clear" w:pos="0"/>
      </w:tabs>
      <w:spacing w:after="240" w:line="480" w:lineRule="auto"/>
      <w:jc w:val="both"/>
      <w:outlineLvl w:val="1"/>
    </w:pPr>
    <w:rPr>
      <w:rFonts w:eastAsia="MS Mincho"/>
      <w:lang w:eastAsia="en-US"/>
    </w:rPr>
  </w:style>
  <w:style w:type="character" w:customStyle="1" w:styleId="zzmpTrailerItem">
    <w:name w:val="zzmpTrailerItem"/>
    <w:basedOn w:val="DefaultParagraphFont"/>
    <w:rsid w:val="003F31BE"/>
    <w:rPr>
      <w:rFonts w:ascii="Times New Roman" w:hAnsi="Times New Roman" w:cs="Times New Roman"/>
      <w:dstrike w:val="0"/>
      <w:noProof/>
      <w:color w:val="auto"/>
      <w:spacing w:val="0"/>
      <w:position w:val="0"/>
      <w:sz w:val="16"/>
      <w:szCs w:val="16"/>
      <w:u w:val="none"/>
      <w:effect w:val="none"/>
      <w:vertAlign w:val="baseline"/>
    </w:rPr>
  </w:style>
  <w:style w:type="paragraph" w:styleId="FootnoteText">
    <w:name w:val="footnote text"/>
    <w:basedOn w:val="Normal"/>
    <w:link w:val="FootnoteTextChar"/>
    <w:rsid w:val="005A0108"/>
    <w:rPr>
      <w:sz w:val="20"/>
      <w:szCs w:val="20"/>
    </w:rPr>
  </w:style>
  <w:style w:type="character" w:customStyle="1" w:styleId="FootnoteTextChar">
    <w:name w:val="Footnote Text Char"/>
    <w:basedOn w:val="DefaultParagraphFont"/>
    <w:link w:val="FootnoteText"/>
    <w:rsid w:val="005A0108"/>
    <w:rPr>
      <w:rFonts w:eastAsia="SimSun" w:cs="Times New Roman"/>
      <w:sz w:val="20"/>
      <w:szCs w:val="20"/>
      <w:lang w:eastAsia="zh-CN"/>
    </w:rPr>
  </w:style>
  <w:style w:type="character" w:styleId="FootnoteReference">
    <w:name w:val="footnote reference"/>
    <w:basedOn w:val="DefaultParagraphFont"/>
    <w:rsid w:val="005A0108"/>
    <w:rPr>
      <w:vertAlign w:val="superscript"/>
    </w:rPr>
  </w:style>
  <w:style w:type="character" w:customStyle="1" w:styleId="Answer2Char">
    <w:name w:val="Answer 2 Char"/>
    <w:basedOn w:val="DefaultParagraphFont"/>
    <w:link w:val="Answer2"/>
    <w:rsid w:val="005A0108"/>
    <w:rPr>
      <w:rFonts w:eastAsia="MS Mincho" w:cs="Times New Roman"/>
      <w:szCs w:val="24"/>
    </w:rPr>
  </w:style>
  <w:style w:type="paragraph" w:customStyle="1" w:styleId="OutlineCont1">
    <w:name w:val="Outline Cont 1"/>
    <w:basedOn w:val="Normal"/>
    <w:rsid w:val="005A0108"/>
    <w:pPr>
      <w:spacing w:after="240"/>
      <w:ind w:firstLine="720"/>
    </w:pPr>
    <w:rPr>
      <w:rFonts w:eastAsia="Times New Roman"/>
      <w:szCs w:val="20"/>
      <w:lang w:eastAsia="en-US"/>
    </w:rPr>
  </w:style>
  <w:style w:type="paragraph" w:customStyle="1" w:styleId="OutlineCont2">
    <w:name w:val="Outline Cont 2"/>
    <w:basedOn w:val="OutlineCont1"/>
    <w:rsid w:val="005A0108"/>
    <w:pPr>
      <w:ind w:firstLine="1440"/>
    </w:pPr>
  </w:style>
  <w:style w:type="paragraph" w:customStyle="1" w:styleId="OutlineCont3">
    <w:name w:val="Outline Cont 3"/>
    <w:basedOn w:val="OutlineCont2"/>
    <w:rsid w:val="005A0108"/>
    <w:pPr>
      <w:ind w:firstLine="2160"/>
    </w:pPr>
  </w:style>
  <w:style w:type="paragraph" w:customStyle="1" w:styleId="OutlineCont4">
    <w:name w:val="Outline Cont 4"/>
    <w:basedOn w:val="OutlineCont3"/>
    <w:rsid w:val="005A0108"/>
    <w:pPr>
      <w:ind w:firstLine="2880"/>
    </w:pPr>
  </w:style>
  <w:style w:type="paragraph" w:customStyle="1" w:styleId="OutlineCont5">
    <w:name w:val="Outline Cont 5"/>
    <w:basedOn w:val="OutlineCont4"/>
    <w:rsid w:val="005A0108"/>
    <w:pPr>
      <w:ind w:firstLine="3600"/>
    </w:pPr>
  </w:style>
  <w:style w:type="paragraph" w:customStyle="1" w:styleId="OutlineCont6">
    <w:name w:val="Outline Cont 6"/>
    <w:basedOn w:val="OutlineCont5"/>
    <w:rsid w:val="005A0108"/>
    <w:pPr>
      <w:ind w:firstLine="4320"/>
    </w:pPr>
  </w:style>
  <w:style w:type="paragraph" w:customStyle="1" w:styleId="OutlineCont7">
    <w:name w:val="Outline Cont 7"/>
    <w:basedOn w:val="OutlineCont6"/>
    <w:rsid w:val="005A0108"/>
    <w:pPr>
      <w:ind w:firstLine="5040"/>
    </w:pPr>
  </w:style>
  <w:style w:type="paragraph" w:customStyle="1" w:styleId="OutlineCont8">
    <w:name w:val="Outline Cont 8"/>
    <w:basedOn w:val="OutlineCont7"/>
    <w:rsid w:val="005A0108"/>
    <w:pPr>
      <w:ind w:firstLine="5760"/>
    </w:pPr>
  </w:style>
  <w:style w:type="paragraph" w:customStyle="1" w:styleId="OutlineCont9">
    <w:name w:val="Outline Cont 9"/>
    <w:basedOn w:val="OutlineCont8"/>
    <w:rsid w:val="005A0108"/>
    <w:pPr>
      <w:ind w:firstLine="6480"/>
    </w:pPr>
  </w:style>
  <w:style w:type="paragraph" w:customStyle="1" w:styleId="OutlineL1">
    <w:name w:val="Outline_L1"/>
    <w:basedOn w:val="Normal"/>
    <w:next w:val="BodyText"/>
    <w:rsid w:val="005A0108"/>
    <w:pPr>
      <w:numPr>
        <w:numId w:val="2"/>
      </w:numPr>
      <w:spacing w:after="240"/>
      <w:outlineLvl w:val="0"/>
    </w:pPr>
    <w:rPr>
      <w:rFonts w:eastAsia="Times New Roman"/>
      <w:szCs w:val="20"/>
      <w:lang w:eastAsia="en-US"/>
    </w:rPr>
  </w:style>
  <w:style w:type="paragraph" w:customStyle="1" w:styleId="OutlineL2">
    <w:name w:val="Outline_L2"/>
    <w:basedOn w:val="OutlineL1"/>
    <w:next w:val="BodyText"/>
    <w:rsid w:val="005A0108"/>
    <w:pPr>
      <w:numPr>
        <w:ilvl w:val="1"/>
      </w:numPr>
      <w:outlineLvl w:val="1"/>
    </w:pPr>
  </w:style>
  <w:style w:type="paragraph" w:customStyle="1" w:styleId="OutlineL3">
    <w:name w:val="Outline_L3"/>
    <w:basedOn w:val="OutlineL2"/>
    <w:next w:val="BodyText"/>
    <w:rsid w:val="005A0108"/>
    <w:pPr>
      <w:numPr>
        <w:ilvl w:val="2"/>
      </w:numPr>
      <w:outlineLvl w:val="2"/>
    </w:pPr>
  </w:style>
  <w:style w:type="paragraph" w:customStyle="1" w:styleId="OutlineL4">
    <w:name w:val="Outline_L4"/>
    <w:basedOn w:val="OutlineL3"/>
    <w:next w:val="BodyText"/>
    <w:rsid w:val="005A0108"/>
    <w:pPr>
      <w:numPr>
        <w:ilvl w:val="3"/>
      </w:numPr>
      <w:outlineLvl w:val="3"/>
    </w:pPr>
  </w:style>
  <w:style w:type="paragraph" w:customStyle="1" w:styleId="OutlineL5">
    <w:name w:val="Outline_L5"/>
    <w:basedOn w:val="OutlineL4"/>
    <w:next w:val="BodyText"/>
    <w:rsid w:val="005A0108"/>
    <w:pPr>
      <w:numPr>
        <w:ilvl w:val="4"/>
      </w:numPr>
      <w:outlineLvl w:val="4"/>
    </w:pPr>
  </w:style>
  <w:style w:type="paragraph" w:customStyle="1" w:styleId="OutlineL6">
    <w:name w:val="Outline_L6"/>
    <w:basedOn w:val="OutlineL5"/>
    <w:next w:val="BodyText"/>
    <w:rsid w:val="005A0108"/>
    <w:pPr>
      <w:numPr>
        <w:ilvl w:val="5"/>
      </w:numPr>
      <w:outlineLvl w:val="5"/>
    </w:pPr>
  </w:style>
  <w:style w:type="paragraph" w:customStyle="1" w:styleId="OutlineL7">
    <w:name w:val="Outline_L7"/>
    <w:basedOn w:val="OutlineL6"/>
    <w:next w:val="BodyText"/>
    <w:rsid w:val="005A0108"/>
    <w:pPr>
      <w:numPr>
        <w:ilvl w:val="6"/>
      </w:numPr>
      <w:outlineLvl w:val="6"/>
    </w:pPr>
  </w:style>
  <w:style w:type="paragraph" w:customStyle="1" w:styleId="OutlineL8">
    <w:name w:val="Outline_L8"/>
    <w:basedOn w:val="OutlineL7"/>
    <w:next w:val="BodyText"/>
    <w:rsid w:val="005A0108"/>
    <w:pPr>
      <w:numPr>
        <w:ilvl w:val="7"/>
      </w:numPr>
      <w:outlineLvl w:val="7"/>
    </w:pPr>
  </w:style>
  <w:style w:type="paragraph" w:customStyle="1" w:styleId="OutlineL9">
    <w:name w:val="Outline_L9"/>
    <w:basedOn w:val="OutlineL8"/>
    <w:next w:val="BodyText"/>
    <w:rsid w:val="005A0108"/>
    <w:pPr>
      <w:numPr>
        <w:ilvl w:val="8"/>
      </w:numPr>
      <w:outlineLvl w:val="8"/>
    </w:pPr>
  </w:style>
  <w:style w:type="character" w:customStyle="1" w:styleId="AnswerChar">
    <w:name w:val="Answer Char"/>
    <w:basedOn w:val="DefaultParagraphFont"/>
    <w:link w:val="Answer"/>
    <w:rsid w:val="005A0108"/>
    <w:rPr>
      <w:rFonts w:eastAsia="MS Mincho" w:cs="Times New Roman"/>
      <w:bCs/>
      <w:szCs w:val="24"/>
      <w:lang w:eastAsia="zh-CN"/>
    </w:rPr>
  </w:style>
  <w:style w:type="paragraph" w:styleId="ListParagraph">
    <w:name w:val="List Paragraph"/>
    <w:basedOn w:val="Normal"/>
    <w:uiPriority w:val="34"/>
    <w:qFormat/>
    <w:rsid w:val="005A0108"/>
    <w:pPr>
      <w:spacing w:after="200" w:line="276" w:lineRule="auto"/>
      <w:ind w:left="720"/>
    </w:pPr>
    <w:rPr>
      <w:rFonts w:ascii="Calibri" w:eastAsia="Times New Roman" w:hAnsi="Calibri"/>
      <w:sz w:val="22"/>
      <w:szCs w:val="22"/>
      <w:lang w:eastAsia="en-US"/>
    </w:rPr>
  </w:style>
  <w:style w:type="character" w:styleId="CommentReference">
    <w:name w:val="annotation reference"/>
    <w:basedOn w:val="DefaultParagraphFont"/>
    <w:semiHidden/>
    <w:rsid w:val="005A0108"/>
    <w:rPr>
      <w:sz w:val="16"/>
      <w:szCs w:val="16"/>
    </w:rPr>
  </w:style>
  <w:style w:type="paragraph" w:styleId="CommentText">
    <w:name w:val="annotation text"/>
    <w:basedOn w:val="Normal"/>
    <w:link w:val="CommentTextChar"/>
    <w:uiPriority w:val="99"/>
    <w:semiHidden/>
    <w:rsid w:val="005A0108"/>
    <w:rPr>
      <w:sz w:val="20"/>
      <w:szCs w:val="20"/>
    </w:rPr>
  </w:style>
  <w:style w:type="character" w:customStyle="1" w:styleId="CommentTextChar">
    <w:name w:val="Comment Text Char"/>
    <w:basedOn w:val="DefaultParagraphFont"/>
    <w:link w:val="CommentText"/>
    <w:uiPriority w:val="99"/>
    <w:semiHidden/>
    <w:rsid w:val="005A0108"/>
    <w:rPr>
      <w:rFonts w:eastAsia="SimSun" w:cs="Times New Roman"/>
      <w:sz w:val="20"/>
      <w:szCs w:val="20"/>
      <w:lang w:eastAsia="zh-CN"/>
    </w:rPr>
  </w:style>
  <w:style w:type="paragraph" w:styleId="BalloonText">
    <w:name w:val="Balloon Text"/>
    <w:basedOn w:val="Normal"/>
    <w:link w:val="BalloonTextChar"/>
    <w:uiPriority w:val="99"/>
    <w:semiHidden/>
    <w:unhideWhenUsed/>
    <w:rsid w:val="005A0108"/>
    <w:rPr>
      <w:rFonts w:ascii="Tahoma" w:hAnsi="Tahoma" w:cs="Tahoma"/>
      <w:sz w:val="16"/>
      <w:szCs w:val="16"/>
    </w:rPr>
  </w:style>
  <w:style w:type="character" w:customStyle="1" w:styleId="BalloonTextChar">
    <w:name w:val="Balloon Text Char"/>
    <w:basedOn w:val="DefaultParagraphFont"/>
    <w:link w:val="BalloonText"/>
    <w:uiPriority w:val="99"/>
    <w:semiHidden/>
    <w:rsid w:val="005A0108"/>
    <w:rPr>
      <w:rFonts w:ascii="Tahoma" w:eastAsia="SimSun" w:hAnsi="Tahoma" w:cs="Tahoma"/>
      <w:sz w:val="16"/>
      <w:szCs w:val="16"/>
      <w:lang w:eastAsia="zh-CN"/>
    </w:rPr>
  </w:style>
  <w:style w:type="character" w:customStyle="1" w:styleId="Answer1Char">
    <w:name w:val="Answer 1 Char"/>
    <w:link w:val="Answer1"/>
    <w:rsid w:val="005A0108"/>
    <w:rPr>
      <w:rFonts w:cs="Times New Roman"/>
      <w:szCs w:val="24"/>
      <w:lang w:eastAsia="zh-CN"/>
    </w:rPr>
  </w:style>
  <w:style w:type="paragraph" w:styleId="CommentSubject">
    <w:name w:val="annotation subject"/>
    <w:basedOn w:val="CommentText"/>
    <w:next w:val="CommentText"/>
    <w:link w:val="CommentSubjectChar"/>
    <w:uiPriority w:val="99"/>
    <w:semiHidden/>
    <w:unhideWhenUsed/>
    <w:rsid w:val="005A0108"/>
    <w:rPr>
      <w:b/>
      <w:bCs/>
    </w:rPr>
  </w:style>
  <w:style w:type="character" w:customStyle="1" w:styleId="CommentSubjectChar">
    <w:name w:val="Comment Subject Char"/>
    <w:basedOn w:val="CommentTextChar"/>
    <w:link w:val="CommentSubject"/>
    <w:uiPriority w:val="99"/>
    <w:semiHidden/>
    <w:rsid w:val="005A0108"/>
    <w:rPr>
      <w:rFonts w:eastAsia="SimSun" w:cs="Times New Roman"/>
      <w:b/>
      <w:bCs/>
      <w:sz w:val="20"/>
      <w:szCs w:val="20"/>
      <w:lang w:eastAsia="zh-CN"/>
    </w:rPr>
  </w:style>
  <w:style w:type="paragraph" w:styleId="Revision">
    <w:name w:val="Revision"/>
    <w:hidden/>
    <w:uiPriority w:val="99"/>
    <w:semiHidden/>
    <w:rsid w:val="005A0108"/>
    <w:rPr>
      <w:rFonts w:eastAsia="SimSun" w:cs="Times New Roman"/>
      <w:szCs w:val="24"/>
      <w:lang w:eastAsia="zh-CN"/>
    </w:rPr>
  </w:style>
  <w:style w:type="paragraph" w:styleId="NoSpacing">
    <w:name w:val="No Spacing"/>
    <w:uiPriority w:val="1"/>
    <w:qFormat/>
    <w:rsid w:val="00843530"/>
    <w:rPr>
      <w:rFonts w:asciiTheme="minorHAnsi" w:eastAsiaTheme="minorHAnsi" w:hAnsiTheme="minorHAnsi"/>
      <w:sz w:val="22"/>
    </w:rPr>
  </w:style>
  <w:style w:type="table" w:styleId="TableGrid">
    <w:name w:val="Table Grid"/>
    <w:basedOn w:val="TableNormal"/>
    <w:uiPriority w:val="59"/>
    <w:rsid w:val="007D21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E50249"/>
    <w:pPr>
      <w:tabs>
        <w:tab w:val="left" w:pos="360"/>
      </w:tabs>
      <w:spacing w:before="240" w:after="240"/>
      <w:ind w:left="360" w:hanging="360"/>
    </w:pPr>
    <w:rPr>
      <w:b/>
      <w:lang w:eastAsia="en-US"/>
    </w:rPr>
  </w:style>
  <w:style w:type="paragraph" w:styleId="TOC2">
    <w:name w:val="toc 2"/>
    <w:basedOn w:val="Normal"/>
    <w:next w:val="Normal"/>
    <w:autoRedefine/>
    <w:uiPriority w:val="39"/>
    <w:unhideWhenUsed/>
    <w:rsid w:val="00D60442"/>
    <w:pPr>
      <w:tabs>
        <w:tab w:val="left" w:pos="360"/>
      </w:tabs>
      <w:spacing w:after="100"/>
      <w:ind w:left="360" w:hanging="360"/>
    </w:pPr>
  </w:style>
  <w:style w:type="paragraph" w:styleId="TOC3">
    <w:name w:val="toc 3"/>
    <w:basedOn w:val="Normal"/>
    <w:next w:val="Normal"/>
    <w:autoRedefine/>
    <w:uiPriority w:val="39"/>
    <w:unhideWhenUsed/>
    <w:rsid w:val="00D60442"/>
    <w:pPr>
      <w:tabs>
        <w:tab w:val="left" w:pos="720"/>
        <w:tab w:val="left" w:pos="1080"/>
      </w:tabs>
      <w:spacing w:after="100"/>
      <w:ind w:left="720" w:hanging="360"/>
    </w:pPr>
  </w:style>
  <w:style w:type="character" w:styleId="Hyperlink">
    <w:name w:val="Hyperlink"/>
    <w:basedOn w:val="DefaultParagraphFont"/>
    <w:uiPriority w:val="99"/>
    <w:unhideWhenUsed/>
    <w:rsid w:val="00D60442"/>
    <w:rPr>
      <w:color w:val="0000FF" w:themeColor="hyperlink"/>
      <w:u w:val="single"/>
    </w:rPr>
  </w:style>
  <w:style w:type="character" w:customStyle="1" w:styleId="Heading1Char">
    <w:name w:val="Heading 1 Char"/>
    <w:basedOn w:val="DefaultParagraphFont"/>
    <w:link w:val="Heading1"/>
    <w:uiPriority w:val="9"/>
    <w:rsid w:val="00D60442"/>
    <w:rPr>
      <w:rFonts w:asciiTheme="majorHAnsi" w:eastAsiaTheme="majorEastAsia" w:hAnsiTheme="majorHAnsi" w:cstheme="majorBidi"/>
      <w:color w:val="365F91" w:themeColor="accent1" w:themeShade="BF"/>
      <w:sz w:val="32"/>
      <w:szCs w:val="32"/>
      <w:lang w:eastAsia="zh-CN"/>
    </w:rPr>
  </w:style>
  <w:style w:type="paragraph" w:styleId="TOCHeading">
    <w:name w:val="TOC Heading"/>
    <w:basedOn w:val="Heading1"/>
    <w:next w:val="Normal"/>
    <w:uiPriority w:val="39"/>
    <w:unhideWhenUsed/>
    <w:qFormat/>
    <w:rsid w:val="00D60442"/>
    <w:pPr>
      <w:spacing w:line="259" w:lineRule="auto"/>
      <w:outlineLvl w:val="9"/>
    </w:pPr>
    <w:rPr>
      <w:lang w:eastAsia="en-US"/>
    </w:rPr>
  </w:style>
  <w:style w:type="character" w:customStyle="1" w:styleId="Heading2Char">
    <w:name w:val="Heading 2 Char"/>
    <w:basedOn w:val="DefaultParagraphFont"/>
    <w:link w:val="Heading2"/>
    <w:uiPriority w:val="9"/>
    <w:semiHidden/>
    <w:rsid w:val="00D6044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D60442"/>
    <w:rPr>
      <w:rFonts w:asciiTheme="majorHAnsi" w:eastAsiaTheme="majorEastAsia" w:hAnsiTheme="majorHAnsi" w:cstheme="majorBidi"/>
      <w:color w:val="243F60" w:themeColor="accent1" w:themeShade="7F"/>
      <w:szCs w:val="24"/>
    </w:rPr>
  </w:style>
  <w:style w:type="character" w:customStyle="1" w:styleId="Heading4Char">
    <w:name w:val="Heading 4 Char"/>
    <w:basedOn w:val="DefaultParagraphFont"/>
    <w:link w:val="Heading4"/>
    <w:uiPriority w:val="9"/>
    <w:semiHidden/>
    <w:rsid w:val="00D60442"/>
    <w:rPr>
      <w:rFonts w:asciiTheme="majorHAnsi" w:eastAsiaTheme="majorEastAsia" w:hAnsiTheme="majorHAnsi" w:cstheme="majorBidi"/>
      <w:i/>
      <w:iCs/>
      <w:color w:val="365F91" w:themeColor="accent1" w:themeShade="BF"/>
      <w:szCs w:val="24"/>
    </w:rPr>
  </w:style>
  <w:style w:type="character" w:customStyle="1" w:styleId="Heading5Char">
    <w:name w:val="Heading 5 Char"/>
    <w:basedOn w:val="DefaultParagraphFont"/>
    <w:link w:val="Heading5"/>
    <w:uiPriority w:val="9"/>
    <w:semiHidden/>
    <w:rsid w:val="00D60442"/>
    <w:rPr>
      <w:rFonts w:asciiTheme="majorHAnsi" w:eastAsiaTheme="majorEastAsia" w:hAnsiTheme="majorHAnsi" w:cstheme="majorBidi"/>
      <w:color w:val="365F91" w:themeColor="accent1" w:themeShade="BF"/>
      <w:szCs w:val="24"/>
    </w:rPr>
  </w:style>
  <w:style w:type="character" w:customStyle="1" w:styleId="Heading6Char">
    <w:name w:val="Heading 6 Char"/>
    <w:basedOn w:val="DefaultParagraphFont"/>
    <w:link w:val="Heading6"/>
    <w:uiPriority w:val="9"/>
    <w:semiHidden/>
    <w:rsid w:val="00D60442"/>
    <w:rPr>
      <w:rFonts w:asciiTheme="majorHAnsi" w:eastAsiaTheme="majorEastAsia" w:hAnsiTheme="majorHAnsi" w:cstheme="majorBidi"/>
      <w:color w:val="243F60" w:themeColor="accent1" w:themeShade="7F"/>
      <w:szCs w:val="24"/>
    </w:rPr>
  </w:style>
  <w:style w:type="character" w:customStyle="1" w:styleId="Heading7Char">
    <w:name w:val="Heading 7 Char"/>
    <w:basedOn w:val="DefaultParagraphFont"/>
    <w:link w:val="Heading7"/>
    <w:uiPriority w:val="9"/>
    <w:semiHidden/>
    <w:rsid w:val="00D60442"/>
    <w:rPr>
      <w:rFonts w:asciiTheme="majorHAnsi" w:eastAsiaTheme="majorEastAsia" w:hAnsiTheme="majorHAnsi" w:cstheme="majorBidi"/>
      <w:i/>
      <w:iCs/>
      <w:color w:val="243F60" w:themeColor="accent1" w:themeShade="7F"/>
      <w:szCs w:val="24"/>
    </w:rPr>
  </w:style>
  <w:style w:type="character" w:customStyle="1" w:styleId="Heading8Char">
    <w:name w:val="Heading 8 Char"/>
    <w:basedOn w:val="DefaultParagraphFont"/>
    <w:link w:val="Heading8"/>
    <w:uiPriority w:val="9"/>
    <w:semiHidden/>
    <w:rsid w:val="00D6044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60442"/>
    <w:rPr>
      <w:rFonts w:asciiTheme="majorHAnsi" w:eastAsiaTheme="majorEastAsia" w:hAnsiTheme="majorHAnsi" w:cstheme="majorBidi"/>
      <w:i/>
      <w:iCs/>
      <w:color w:val="272727" w:themeColor="text1" w:themeTint="D8"/>
      <w:sz w:val="21"/>
      <w:szCs w:val="21"/>
    </w:rPr>
  </w:style>
  <w:style w:type="character" w:customStyle="1" w:styleId="Mention1">
    <w:name w:val="Mention1"/>
    <w:basedOn w:val="DefaultParagraphFont"/>
    <w:uiPriority w:val="99"/>
    <w:unhideWhenUsed/>
    <w:rsid w:val="00130157"/>
    <w:rPr>
      <w:color w:val="2B579A"/>
      <w:shd w:val="clear" w:color="auto" w:fill="E6E6E6"/>
    </w:rPr>
  </w:style>
  <w:style w:type="character" w:styleId="UnresolvedMention">
    <w:name w:val="Unresolved Mention"/>
    <w:basedOn w:val="DefaultParagraphFont"/>
    <w:uiPriority w:val="99"/>
    <w:rsid w:val="007074CB"/>
    <w:rPr>
      <w:color w:val="605E5C"/>
      <w:shd w:val="clear" w:color="auto" w:fill="E1DFDD"/>
    </w:rPr>
  </w:style>
  <w:style w:type="character" w:styleId="Mention">
    <w:name w:val="Mention"/>
    <w:basedOn w:val="DefaultParagraphFont"/>
    <w:uiPriority w:val="99"/>
    <w:rsid w:val="0058396E"/>
    <w:rPr>
      <w:color w:val="2B579A"/>
      <w:shd w:val="clear" w:color="auto" w:fill="E1DFDD"/>
    </w:rPr>
  </w:style>
  <w:style w:type="character" w:styleId="FollowedHyperlink">
    <w:name w:val="FollowedHyperlink"/>
    <w:basedOn w:val="DefaultParagraphFont"/>
    <w:uiPriority w:val="99"/>
    <w:semiHidden/>
    <w:unhideWhenUsed/>
    <w:rsid w:val="00F203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024">
      <w:bodyDiv w:val="1"/>
      <w:marLeft w:val="0"/>
      <w:marRight w:val="0"/>
      <w:marTop w:val="0"/>
      <w:marBottom w:val="0"/>
      <w:divBdr>
        <w:top w:val="none" w:sz="0" w:space="0" w:color="auto"/>
        <w:left w:val="none" w:sz="0" w:space="0" w:color="auto"/>
        <w:bottom w:val="none" w:sz="0" w:space="0" w:color="auto"/>
        <w:right w:val="none" w:sz="0" w:space="0" w:color="auto"/>
      </w:divBdr>
    </w:div>
    <w:div w:id="132455388">
      <w:bodyDiv w:val="1"/>
      <w:marLeft w:val="0"/>
      <w:marRight w:val="0"/>
      <w:marTop w:val="0"/>
      <w:marBottom w:val="0"/>
      <w:divBdr>
        <w:top w:val="none" w:sz="0" w:space="0" w:color="auto"/>
        <w:left w:val="none" w:sz="0" w:space="0" w:color="auto"/>
        <w:bottom w:val="none" w:sz="0" w:space="0" w:color="auto"/>
        <w:right w:val="none" w:sz="0" w:space="0" w:color="auto"/>
      </w:divBdr>
      <w:divsChild>
        <w:div w:id="1287269836">
          <w:marLeft w:val="0"/>
          <w:marRight w:val="0"/>
          <w:marTop w:val="0"/>
          <w:marBottom w:val="0"/>
          <w:divBdr>
            <w:top w:val="none" w:sz="0" w:space="0" w:color="3D3D3D"/>
            <w:left w:val="none" w:sz="0" w:space="0" w:color="3D3D3D"/>
            <w:bottom w:val="none" w:sz="0" w:space="0" w:color="3D3D3D"/>
            <w:right w:val="none" w:sz="0" w:space="0" w:color="3D3D3D"/>
          </w:divBdr>
          <w:divsChild>
            <w:div w:id="2142335509">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92574470">
      <w:bodyDiv w:val="1"/>
      <w:marLeft w:val="0"/>
      <w:marRight w:val="0"/>
      <w:marTop w:val="0"/>
      <w:marBottom w:val="0"/>
      <w:divBdr>
        <w:top w:val="none" w:sz="0" w:space="0" w:color="auto"/>
        <w:left w:val="none" w:sz="0" w:space="0" w:color="auto"/>
        <w:bottom w:val="none" w:sz="0" w:space="0" w:color="auto"/>
        <w:right w:val="none" w:sz="0" w:space="0" w:color="auto"/>
      </w:divBdr>
    </w:div>
    <w:div w:id="235827640">
      <w:bodyDiv w:val="1"/>
      <w:marLeft w:val="0"/>
      <w:marRight w:val="0"/>
      <w:marTop w:val="0"/>
      <w:marBottom w:val="0"/>
      <w:divBdr>
        <w:top w:val="none" w:sz="0" w:space="0" w:color="auto"/>
        <w:left w:val="none" w:sz="0" w:space="0" w:color="auto"/>
        <w:bottom w:val="none" w:sz="0" w:space="0" w:color="auto"/>
        <w:right w:val="none" w:sz="0" w:space="0" w:color="auto"/>
      </w:divBdr>
    </w:div>
    <w:div w:id="406458361">
      <w:bodyDiv w:val="1"/>
      <w:marLeft w:val="0"/>
      <w:marRight w:val="0"/>
      <w:marTop w:val="0"/>
      <w:marBottom w:val="0"/>
      <w:divBdr>
        <w:top w:val="none" w:sz="0" w:space="0" w:color="auto"/>
        <w:left w:val="none" w:sz="0" w:space="0" w:color="auto"/>
        <w:bottom w:val="none" w:sz="0" w:space="0" w:color="auto"/>
        <w:right w:val="none" w:sz="0" w:space="0" w:color="auto"/>
      </w:divBdr>
    </w:div>
    <w:div w:id="837766528">
      <w:bodyDiv w:val="1"/>
      <w:marLeft w:val="0"/>
      <w:marRight w:val="0"/>
      <w:marTop w:val="0"/>
      <w:marBottom w:val="0"/>
      <w:divBdr>
        <w:top w:val="none" w:sz="0" w:space="0" w:color="auto"/>
        <w:left w:val="none" w:sz="0" w:space="0" w:color="auto"/>
        <w:bottom w:val="none" w:sz="0" w:space="0" w:color="auto"/>
        <w:right w:val="none" w:sz="0" w:space="0" w:color="auto"/>
      </w:divBdr>
    </w:div>
    <w:div w:id="1031497190">
      <w:bodyDiv w:val="1"/>
      <w:marLeft w:val="0"/>
      <w:marRight w:val="0"/>
      <w:marTop w:val="0"/>
      <w:marBottom w:val="0"/>
      <w:divBdr>
        <w:top w:val="none" w:sz="0" w:space="0" w:color="auto"/>
        <w:left w:val="none" w:sz="0" w:space="0" w:color="auto"/>
        <w:bottom w:val="none" w:sz="0" w:space="0" w:color="auto"/>
        <w:right w:val="none" w:sz="0" w:space="0" w:color="auto"/>
      </w:divBdr>
    </w:div>
    <w:div w:id="1077826864">
      <w:bodyDiv w:val="1"/>
      <w:marLeft w:val="0"/>
      <w:marRight w:val="0"/>
      <w:marTop w:val="0"/>
      <w:marBottom w:val="0"/>
      <w:divBdr>
        <w:top w:val="none" w:sz="0" w:space="0" w:color="auto"/>
        <w:left w:val="none" w:sz="0" w:space="0" w:color="auto"/>
        <w:bottom w:val="none" w:sz="0" w:space="0" w:color="auto"/>
        <w:right w:val="none" w:sz="0" w:space="0" w:color="auto"/>
      </w:divBdr>
    </w:div>
    <w:div w:id="1192842647">
      <w:bodyDiv w:val="1"/>
      <w:marLeft w:val="0"/>
      <w:marRight w:val="0"/>
      <w:marTop w:val="0"/>
      <w:marBottom w:val="0"/>
      <w:divBdr>
        <w:top w:val="none" w:sz="0" w:space="0" w:color="auto"/>
        <w:left w:val="none" w:sz="0" w:space="0" w:color="auto"/>
        <w:bottom w:val="none" w:sz="0" w:space="0" w:color="auto"/>
        <w:right w:val="none" w:sz="0" w:space="0" w:color="auto"/>
      </w:divBdr>
      <w:divsChild>
        <w:div w:id="1242835152">
          <w:marLeft w:val="0"/>
          <w:marRight w:val="0"/>
          <w:marTop w:val="0"/>
          <w:marBottom w:val="0"/>
          <w:divBdr>
            <w:top w:val="none" w:sz="0" w:space="0" w:color="3D3D3D"/>
            <w:left w:val="none" w:sz="0" w:space="0" w:color="3D3D3D"/>
            <w:bottom w:val="none" w:sz="0" w:space="0" w:color="3D3D3D"/>
            <w:right w:val="none" w:sz="0" w:space="0" w:color="3D3D3D"/>
          </w:divBdr>
          <w:divsChild>
            <w:div w:id="640234708">
              <w:marLeft w:val="0"/>
              <w:marRight w:val="0"/>
              <w:marTop w:val="0"/>
              <w:marBottom w:val="0"/>
              <w:divBdr>
                <w:top w:val="none" w:sz="0" w:space="0" w:color="3D3D3D"/>
                <w:left w:val="none" w:sz="0" w:space="0" w:color="3D3D3D"/>
                <w:bottom w:val="none" w:sz="0" w:space="0" w:color="3D3D3D"/>
                <w:right w:val="none" w:sz="0" w:space="0" w:color="3D3D3D"/>
              </w:divBdr>
            </w:div>
          </w:divsChild>
        </w:div>
      </w:divsChild>
    </w:div>
    <w:div w:id="1196113309">
      <w:bodyDiv w:val="1"/>
      <w:marLeft w:val="0"/>
      <w:marRight w:val="0"/>
      <w:marTop w:val="0"/>
      <w:marBottom w:val="0"/>
      <w:divBdr>
        <w:top w:val="none" w:sz="0" w:space="0" w:color="auto"/>
        <w:left w:val="none" w:sz="0" w:space="0" w:color="auto"/>
        <w:bottom w:val="none" w:sz="0" w:space="0" w:color="auto"/>
        <w:right w:val="none" w:sz="0" w:space="0" w:color="auto"/>
      </w:divBdr>
    </w:div>
    <w:div w:id="1939408096">
      <w:bodyDiv w:val="1"/>
      <w:marLeft w:val="0"/>
      <w:marRight w:val="0"/>
      <w:marTop w:val="0"/>
      <w:marBottom w:val="0"/>
      <w:divBdr>
        <w:top w:val="none" w:sz="0" w:space="0" w:color="auto"/>
        <w:left w:val="none" w:sz="0" w:space="0" w:color="auto"/>
        <w:bottom w:val="none" w:sz="0" w:space="0" w:color="auto"/>
        <w:right w:val="none" w:sz="0" w:space="0" w:color="auto"/>
      </w:divBdr>
    </w:div>
    <w:div w:id="214068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merriam-webster.com/dictionary/support" TargetMode="External"/><Relationship Id="rId1" Type="http://schemas.openxmlformats.org/officeDocument/2006/relationships/hyperlink" Target="https://www.merriam-webster.com/dictionary/prop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www.imanage.com/work/xmlschema">
  <documentid>ACTIVE!317260900.6</documentid>
  <senderid>FOOMG</senderid>
  <senderemail>MICHAEL.FOO@TROUTMAN.COM</senderemail>
  <lastmodified>2025-07-14T14:59:00.0000000-04:00</lastmodified>
  <database>ACTIVE</database>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65FEF-E13D-4B28-94CD-AF428C3A92A0}">
  <ds:schemaRefs>
    <ds:schemaRef ds:uri="http://www.imanage.com/work/xmlschema"/>
  </ds:schemaRefs>
</ds:datastoreItem>
</file>

<file path=customXml/itemProps2.xml><?xml version="1.0" encoding="utf-8"?>
<ds:datastoreItem xmlns:ds="http://schemas.openxmlformats.org/officeDocument/2006/customXml" ds:itemID="{8F2AB3A5-DA45-4C27-939A-5AA23BC7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1938</Words>
  <Characters>10682</Characters>
  <Application>Microsoft Office Word</Application>
  <DocSecurity>0</DocSecurity>
  <Lines>172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2025-07-14T18:57:00Z</dcterms:created>
  <dcterms:modified xsi:type="dcterms:W3CDTF">2025-07-14T19:16:00Z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WDocID">
    <vt:lpwstr>317260900v6</vt:lpwstr>
  </property>
</Properties>
</file>